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0313E" w14:textId="77777777" w:rsidR="002E163C" w:rsidRPr="00CB2208" w:rsidRDefault="002E163C" w:rsidP="002E163C">
      <w:pPr>
        <w:spacing w:line="240" w:lineRule="auto"/>
        <w:contextualSpacing/>
        <w:jc w:val="center"/>
        <w:rPr>
          <w:rFonts w:ascii="Century Gothic" w:eastAsia="Arial" w:hAnsi="Century Gothic" w:cs="Times New Roman"/>
          <w:b/>
          <w:bCs/>
        </w:rPr>
      </w:pPr>
      <w:r w:rsidRPr="00CB2208">
        <w:rPr>
          <w:rFonts w:ascii="Century Gothic" w:eastAsia="Arial" w:hAnsi="Century Gothic" w:cs="Times New Roman"/>
          <w:b/>
          <w:bCs/>
        </w:rPr>
        <w:t xml:space="preserve">TERMS OF REFERENCE (TOR) </w:t>
      </w:r>
    </w:p>
    <w:p w14:paraId="0C6E0CA4" w14:textId="77777777" w:rsidR="002E163C" w:rsidRPr="00CB2208" w:rsidRDefault="002E163C" w:rsidP="002E163C">
      <w:pPr>
        <w:spacing w:line="240" w:lineRule="auto"/>
        <w:contextualSpacing/>
        <w:jc w:val="center"/>
        <w:rPr>
          <w:rFonts w:ascii="Century Gothic" w:eastAsia="Arial" w:hAnsi="Century Gothic" w:cs="Times New Roman"/>
          <w:b/>
          <w:bCs/>
        </w:rPr>
      </w:pPr>
      <w:r w:rsidRPr="00CB2208">
        <w:rPr>
          <w:rFonts w:ascii="Century Gothic" w:eastAsia="Arial" w:hAnsi="Century Gothic" w:cs="Times New Roman"/>
          <w:b/>
          <w:bCs/>
        </w:rPr>
        <w:t xml:space="preserve">FOR </w:t>
      </w:r>
    </w:p>
    <w:p w14:paraId="74E79F74" w14:textId="7B24D67D" w:rsidR="002E163C" w:rsidRDefault="002E163C" w:rsidP="002E163C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</w:rPr>
      </w:pPr>
      <w:r w:rsidRPr="002E163C">
        <w:rPr>
          <w:rFonts w:ascii="Century Gothic" w:eastAsia="Calibri" w:hAnsi="Century Gothic" w:cs="Calibri"/>
          <w:b/>
          <w:bCs/>
        </w:rPr>
        <w:t>E</w:t>
      </w:r>
      <w:r>
        <w:rPr>
          <w:rFonts w:ascii="Century Gothic" w:eastAsia="Calibri" w:hAnsi="Century Gothic" w:cs="Calibri"/>
          <w:b/>
          <w:bCs/>
        </w:rPr>
        <w:t xml:space="preserve">NTERPRISE </w:t>
      </w:r>
      <w:r w:rsidRPr="002E163C">
        <w:rPr>
          <w:rFonts w:ascii="Century Gothic" w:eastAsia="Calibri" w:hAnsi="Century Gothic" w:cs="Calibri"/>
          <w:b/>
          <w:bCs/>
        </w:rPr>
        <w:t>S</w:t>
      </w:r>
      <w:r>
        <w:rPr>
          <w:rFonts w:ascii="Century Gothic" w:eastAsia="Calibri" w:hAnsi="Century Gothic" w:cs="Calibri"/>
          <w:b/>
          <w:bCs/>
        </w:rPr>
        <w:t xml:space="preserve">UPPORT </w:t>
      </w:r>
      <w:r w:rsidRPr="002E163C">
        <w:rPr>
          <w:rFonts w:ascii="Century Gothic" w:eastAsia="Calibri" w:hAnsi="Century Gothic" w:cs="Calibri"/>
          <w:b/>
          <w:bCs/>
        </w:rPr>
        <w:t>O</w:t>
      </w:r>
      <w:r>
        <w:rPr>
          <w:rFonts w:ascii="Century Gothic" w:eastAsia="Calibri" w:hAnsi="Century Gothic" w:cs="Calibri"/>
          <w:b/>
          <w:bCs/>
        </w:rPr>
        <w:t>RGANISATIONS</w:t>
      </w:r>
      <w:r w:rsidR="004E735E">
        <w:rPr>
          <w:rFonts w:ascii="Century Gothic" w:eastAsia="Calibri" w:hAnsi="Century Gothic" w:cs="Calibri"/>
          <w:b/>
          <w:bCs/>
        </w:rPr>
        <w:t xml:space="preserve"> (ESOs)</w:t>
      </w:r>
      <w:r>
        <w:rPr>
          <w:rFonts w:ascii="Century Gothic" w:eastAsia="Calibri" w:hAnsi="Century Gothic" w:cs="Calibri"/>
          <w:b/>
          <w:bCs/>
        </w:rPr>
        <w:t xml:space="preserve"> TO DELIVER START UP COMPETITION</w:t>
      </w:r>
      <w:r w:rsidR="00AE312C">
        <w:rPr>
          <w:rFonts w:ascii="Century Gothic" w:eastAsia="Calibri" w:hAnsi="Century Gothic" w:cs="Calibri"/>
          <w:b/>
          <w:bCs/>
        </w:rPr>
        <w:t>,</w:t>
      </w:r>
      <w:r>
        <w:rPr>
          <w:rFonts w:ascii="Century Gothic" w:eastAsia="Calibri" w:hAnsi="Century Gothic" w:cs="Calibri"/>
          <w:b/>
          <w:bCs/>
        </w:rPr>
        <w:t xml:space="preserve"> </w:t>
      </w:r>
      <w:r w:rsidR="00974C0B" w:rsidRPr="002E163C">
        <w:rPr>
          <w:rFonts w:ascii="Century Gothic" w:eastAsia="Calibri" w:hAnsi="Century Gothic" w:cs="Calibri"/>
          <w:b/>
          <w:bCs/>
        </w:rPr>
        <w:t>HACKATHONS</w:t>
      </w:r>
      <w:r w:rsidRPr="002E163C">
        <w:rPr>
          <w:rFonts w:ascii="Century Gothic" w:eastAsia="Calibri" w:hAnsi="Century Gothic" w:cs="Calibri"/>
          <w:b/>
          <w:bCs/>
        </w:rPr>
        <w:t xml:space="preserve"> </w:t>
      </w:r>
      <w:r w:rsidR="00AE312C">
        <w:rPr>
          <w:rFonts w:ascii="Century Gothic" w:eastAsia="Calibri" w:hAnsi="Century Gothic" w:cs="Calibri"/>
          <w:b/>
          <w:bCs/>
        </w:rPr>
        <w:t>AND MENTORSHIP SUPPORT</w:t>
      </w:r>
    </w:p>
    <w:p w14:paraId="74DD27F6" w14:textId="4353F729" w:rsidR="002E163C" w:rsidRPr="00CB2208" w:rsidRDefault="002E163C" w:rsidP="002E163C">
      <w:pPr>
        <w:spacing w:after="0" w:line="240" w:lineRule="auto"/>
        <w:jc w:val="center"/>
        <w:rPr>
          <w:rFonts w:ascii="Century Gothic" w:eastAsia="Calibri" w:hAnsi="Century Gothic" w:cs="Calibri"/>
          <w:b/>
          <w:bCs/>
        </w:rPr>
      </w:pPr>
      <w:r w:rsidRPr="00CB2208">
        <w:rPr>
          <w:rFonts w:ascii="Century Gothic" w:eastAsia="Calibri" w:hAnsi="Century Gothic" w:cs="Calibri"/>
          <w:b/>
          <w:bCs/>
        </w:rPr>
        <w:t xml:space="preserve">FOR THE IMPLEMENTATION OF </w:t>
      </w:r>
      <w:r w:rsidR="004A1FE0">
        <w:rPr>
          <w:rFonts w:ascii="Century Gothic" w:eastAsia="Calibri" w:hAnsi="Century Gothic" w:cs="Calibri"/>
          <w:b/>
          <w:bCs/>
        </w:rPr>
        <w:t xml:space="preserve">THE </w:t>
      </w:r>
      <w:r w:rsidRPr="00CB2208">
        <w:rPr>
          <w:rFonts w:ascii="Century Gothic" w:eastAsia="Calibri" w:hAnsi="Century Gothic" w:cs="Calibri"/>
          <w:b/>
          <w:bCs/>
        </w:rPr>
        <w:t xml:space="preserve">ISLAMIC DEVELOPMENT BANK (ISDB) </w:t>
      </w:r>
      <w:r w:rsidR="004A1FE0">
        <w:rPr>
          <w:rFonts w:ascii="Century Gothic" w:eastAsia="Calibri" w:hAnsi="Century Gothic" w:cs="Calibri"/>
          <w:b/>
          <w:bCs/>
        </w:rPr>
        <w:t>COMPONENT</w:t>
      </w:r>
      <w:r w:rsidRPr="00CB2208">
        <w:rPr>
          <w:rFonts w:ascii="Century Gothic" w:eastAsia="Calibri" w:hAnsi="Century Gothic" w:cs="Calibri"/>
          <w:b/>
          <w:bCs/>
        </w:rPr>
        <w:t xml:space="preserve"> OF THE INVESTMENT IN DIGITAL AND CREATIVE ENTERPRISES (</w:t>
      </w:r>
      <w:r w:rsidR="00982800">
        <w:rPr>
          <w:rFonts w:ascii="Century Gothic" w:eastAsia="Calibri" w:hAnsi="Century Gothic" w:cs="Calibri"/>
          <w:b/>
          <w:bCs/>
        </w:rPr>
        <w:t>i</w:t>
      </w:r>
      <w:r w:rsidRPr="00CB2208">
        <w:rPr>
          <w:rFonts w:ascii="Century Gothic" w:eastAsia="Calibri" w:hAnsi="Century Gothic" w:cs="Calibri"/>
          <w:b/>
          <w:bCs/>
        </w:rPr>
        <w:t xml:space="preserve">DICE) PROGRAMME </w:t>
      </w:r>
      <w:r w:rsidR="00AE312C">
        <w:rPr>
          <w:rFonts w:ascii="Century Gothic" w:eastAsia="Calibri" w:hAnsi="Century Gothic" w:cs="Calibri"/>
          <w:b/>
          <w:bCs/>
        </w:rPr>
        <w:t>–</w:t>
      </w:r>
      <w:r w:rsidR="00023CB8">
        <w:rPr>
          <w:rFonts w:ascii="Century Gothic" w:eastAsia="Calibri" w:hAnsi="Century Gothic" w:cs="Calibri"/>
          <w:b/>
          <w:bCs/>
        </w:rPr>
        <w:t xml:space="preserve"> SOUTH</w:t>
      </w:r>
    </w:p>
    <w:p w14:paraId="045710F6" w14:textId="2D7DCD54" w:rsidR="002E163C" w:rsidRPr="00A00C1B" w:rsidRDefault="002E163C" w:rsidP="00A00C1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fldChar w:fldCharType="begin"/>
      </w: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instrText xml:space="preserve"> INCLUDEPICTURE "https://lh4.googleusercontent.com/43cmd8ESkhgYw5OJdFWIfDGfSPmwAdmPsDrqj3fa2-wIulxy-0-ogsrOv9RPwYMREo8mheGig6bBnhIsk5CSqD0_WPF01rv_1JvT1oCKOrOi8I8NUq3Lobte4etX9YduDJY9iwjxSqrZF6OFzBnqCIk" \* MERGEFORMATINET </w:instrText>
      </w: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fldChar w:fldCharType="separate"/>
      </w:r>
      <w:r w:rsidRPr="00CB2208">
        <w:rPr>
          <w:rFonts w:ascii="Century Gothic" w:eastAsia="Times New Roman" w:hAnsi="Century Gothic" w:cs="Times New Roman"/>
          <w:noProof/>
          <w:color w:val="424242"/>
          <w:bdr w:val="none" w:sz="0" w:space="0" w:color="auto" w:frame="1"/>
        </w:rPr>
        <w:drawing>
          <wp:inline distT="0" distB="0" distL="0" distR="0" wp14:anchorId="1E0C9E9E" wp14:editId="652DD5A2">
            <wp:extent cx="5943600" cy="47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208">
        <w:rPr>
          <w:rFonts w:ascii="Century Gothic" w:eastAsia="Times New Roman" w:hAnsi="Century Gothic" w:cs="Times New Roman"/>
          <w:color w:val="424242"/>
          <w:bdr w:val="none" w:sz="0" w:space="0" w:color="auto" w:frame="1"/>
        </w:rPr>
        <w:fldChar w:fldCharType="end"/>
      </w:r>
    </w:p>
    <w:p w14:paraId="1B326112" w14:textId="77777777" w:rsidR="002E163C" w:rsidRPr="00CB2208" w:rsidRDefault="002E163C" w:rsidP="002E163C">
      <w:pPr>
        <w:spacing w:after="0" w:line="240" w:lineRule="auto"/>
        <w:rPr>
          <w:rFonts w:ascii="Century Gothic" w:eastAsia="Times New Roman" w:hAnsi="Century Gothic" w:cs="Times New Roman"/>
        </w:rPr>
      </w:pPr>
      <w:r w:rsidRPr="00CB2208">
        <w:rPr>
          <w:rFonts w:ascii="Century Gothic" w:eastAsia="Times New Roman" w:hAnsi="Century Gothic" w:cs="Times New Roman"/>
          <w:b/>
          <w:bCs/>
          <w:color w:val="000000"/>
        </w:rPr>
        <w:t>Technology and Creative Sector</w:t>
      </w:r>
    </w:p>
    <w:p w14:paraId="76C2AFC0" w14:textId="3F07E773" w:rsidR="002E163C" w:rsidRPr="00CB2208" w:rsidRDefault="002E163C" w:rsidP="002E163C">
      <w:pPr>
        <w:spacing w:after="0" w:line="240" w:lineRule="auto"/>
        <w:rPr>
          <w:rFonts w:ascii="Century Gothic" w:eastAsia="Times New Roman" w:hAnsi="Century Gothic" w:cs="Times New Roman"/>
        </w:rPr>
      </w:pPr>
      <w:r w:rsidRPr="00CB2208">
        <w:rPr>
          <w:rFonts w:ascii="Century Gothic" w:eastAsia="Times New Roman" w:hAnsi="Century Gothic" w:cs="Times New Roman"/>
          <w:b/>
          <w:bCs/>
          <w:color w:val="000000"/>
        </w:rPr>
        <w:t>Financing Agreement reference: 2000200005160</w:t>
      </w:r>
    </w:p>
    <w:p w14:paraId="25DD4C24" w14:textId="77777777" w:rsidR="002E163C" w:rsidRDefault="002E163C" w:rsidP="002E163C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</w:rPr>
      </w:pPr>
      <w:r w:rsidRPr="00CB2208">
        <w:rPr>
          <w:rFonts w:ascii="Century Gothic" w:eastAsia="Times New Roman" w:hAnsi="Century Gothic" w:cs="Times New Roman"/>
          <w:b/>
          <w:bCs/>
          <w:color w:val="000000"/>
        </w:rPr>
        <w:t>Project ID No.: P-NG-K00-009</w:t>
      </w:r>
    </w:p>
    <w:p w14:paraId="744ECD25" w14:textId="2748D2B5" w:rsidR="002E163C" w:rsidRPr="00CB2208" w:rsidRDefault="002E163C" w:rsidP="002E163C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E2105B2" w14:textId="3B103F7F" w:rsidR="002E163C" w:rsidRDefault="002E163C" w:rsidP="007F1105">
      <w:pPr>
        <w:pStyle w:val="ListParagraph"/>
        <w:numPr>
          <w:ilvl w:val="0"/>
          <w:numId w:val="3"/>
        </w:numPr>
        <w:spacing w:after="0"/>
        <w:ind w:left="0"/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</w:pPr>
      <w:r w:rsidRPr="00A64BD8"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  <w:t>Background</w:t>
      </w:r>
    </w:p>
    <w:p w14:paraId="23E43DE1" w14:textId="7C974066" w:rsidR="002E163C" w:rsidRDefault="002E163C" w:rsidP="007974EB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The Bank of Industry (BOI), with support from development partners including the African Development Bank, the French Development Agency, and the Islamic Development Bank (IsDB), is 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>implementing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the Investment in Digital and Creative Enterprises (iDICE) Programme. iDICE is a five-year program designed to catalyze the growth of technology and creative sectors, providing 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 xml:space="preserve">skills development, policy advisory and 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>access to finance for entrepreneurs and start-ups within these industries. This initiative aims to foster a sustainable ecosystem that enhances Nigeria’s participation in the fast-evolving global digital economy.</w:t>
      </w:r>
    </w:p>
    <w:p w14:paraId="159CE6DC" w14:textId="77777777" w:rsidR="007974EB" w:rsidRPr="00CB2208" w:rsidRDefault="007974EB" w:rsidP="00A64BD8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</w:p>
    <w:p w14:paraId="0626ADC5" w14:textId="55DFDDBC" w:rsidR="002E163C" w:rsidRDefault="002E163C" w:rsidP="007F1105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Recognizing the </w:t>
      </w:r>
      <w:r w:rsidR="004E735E">
        <w:rPr>
          <w:rFonts w:ascii="Century Gothic" w:eastAsia="Calibri" w:hAnsi="Century Gothic" w:cs="Arial"/>
          <w:kern w:val="2"/>
          <w14:ligatures w14:val="standardContextual"/>
        </w:rPr>
        <w:t>need to support innovative startups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, </w:t>
      </w:r>
      <w:r w:rsidR="00B729FE">
        <w:rPr>
          <w:rFonts w:ascii="Century Gothic" w:eastAsia="Calibri" w:hAnsi="Century Gothic" w:cs="Arial"/>
          <w:kern w:val="2"/>
          <w14:ligatures w14:val="standardContextual"/>
        </w:rPr>
        <w:t>the Bank of Industry (BOI)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>, with funding from the Islamic Development Bank (IsDB) is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</w:t>
      </w:r>
      <w:r w:rsidR="00D53874">
        <w:rPr>
          <w:rFonts w:ascii="Century Gothic" w:eastAsia="Calibri" w:hAnsi="Century Gothic" w:cs="Arial"/>
          <w:kern w:val="2"/>
          <w14:ligatures w14:val="standardContextual"/>
        </w:rPr>
        <w:t>organiz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>ing</w:t>
      </w:r>
      <w:r w:rsidR="00D53874">
        <w:rPr>
          <w:rFonts w:ascii="Century Gothic" w:eastAsia="Calibri" w:hAnsi="Century Gothic" w:cs="Arial"/>
          <w:kern w:val="2"/>
          <w14:ligatures w14:val="standardContextual"/>
        </w:rPr>
        <w:t xml:space="preserve"> competitions, </w:t>
      </w:r>
      <w:r w:rsidR="004E735E">
        <w:rPr>
          <w:rFonts w:ascii="Century Gothic" w:eastAsia="Calibri" w:hAnsi="Century Gothic" w:cs="Arial"/>
          <w:kern w:val="2"/>
          <w14:ligatures w14:val="standardContextual"/>
        </w:rPr>
        <w:t>hackathons</w:t>
      </w:r>
      <w:r w:rsidR="00D53874">
        <w:rPr>
          <w:rFonts w:ascii="Century Gothic" w:eastAsia="Calibri" w:hAnsi="Century Gothic" w:cs="Arial"/>
          <w:kern w:val="2"/>
          <w14:ligatures w14:val="standardContextual"/>
        </w:rPr>
        <w:t xml:space="preserve"> and mentorship</w:t>
      </w:r>
      <w:r w:rsidR="004E735E">
        <w:rPr>
          <w:rFonts w:ascii="Century Gothic" w:eastAsia="Calibri" w:hAnsi="Century Gothic" w:cs="Arial"/>
          <w:kern w:val="2"/>
          <w14:ligatures w14:val="standardContextual"/>
        </w:rPr>
        <w:t xml:space="preserve"> under 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the iDICE 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>programme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. </w:t>
      </w:r>
      <w:bookmarkStart w:id="0" w:name="_Hlk206078658"/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This </w:t>
      </w:r>
      <w:r w:rsidR="00974C0B">
        <w:rPr>
          <w:rFonts w:ascii="Century Gothic" w:eastAsia="Calibri" w:hAnsi="Century Gothic" w:cs="Arial"/>
          <w:kern w:val="2"/>
          <w14:ligatures w14:val="standardContextual"/>
        </w:rPr>
        <w:t>activity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seeks to support 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>startups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in the digital and creative sectors</w:t>
      </w:r>
      <w:r w:rsidR="00E92180">
        <w:rPr>
          <w:rFonts w:ascii="Century Gothic" w:eastAsia="Calibri" w:hAnsi="Century Gothic" w:cs="Arial"/>
          <w:kern w:val="2"/>
          <w14:ligatures w14:val="standardContextual"/>
        </w:rPr>
        <w:t xml:space="preserve"> </w:t>
      </w:r>
      <w:r w:rsidR="004A1FE0">
        <w:rPr>
          <w:rFonts w:ascii="Century Gothic" w:eastAsia="Calibri" w:hAnsi="Century Gothic" w:cs="Arial"/>
          <w:kern w:val="2"/>
          <w14:ligatures w14:val="standardContextual"/>
        </w:rPr>
        <w:t>with training, mentorship and funding, promoting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 financial inclusivity and equitable economic growth</w:t>
      </w:r>
      <w:bookmarkEnd w:id="0"/>
      <w:r w:rsidRPr="00CB2208">
        <w:rPr>
          <w:rFonts w:ascii="Century Gothic" w:eastAsia="Calibri" w:hAnsi="Century Gothic" w:cs="Arial"/>
          <w:kern w:val="2"/>
          <w14:ligatures w14:val="standardContextual"/>
        </w:rPr>
        <w:t>.</w:t>
      </w:r>
    </w:p>
    <w:p w14:paraId="2A02A0BE" w14:textId="77777777" w:rsidR="00A212CE" w:rsidRPr="00CB2208" w:rsidRDefault="00A212CE" w:rsidP="00A64BD8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</w:p>
    <w:p w14:paraId="14E5078E" w14:textId="26801F96" w:rsidR="002E163C" w:rsidRDefault="002E163C" w:rsidP="00A64BD8">
      <w:pPr>
        <w:spacing w:after="0" w:line="276" w:lineRule="auto"/>
        <w:jc w:val="both"/>
        <w:rPr>
          <w:rFonts w:ascii="Century Gothic" w:eastAsia="Calibri" w:hAnsi="Century Gothic" w:cs="Arial"/>
          <w:b/>
          <w:bCs/>
          <w:kern w:val="2"/>
          <w14:ligatures w14:val="standardContextual"/>
        </w:rPr>
      </w:pP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To effectively implement this </w:t>
      </w:r>
      <w:r w:rsidR="004E735E">
        <w:rPr>
          <w:rFonts w:ascii="Century Gothic" w:eastAsia="Calibri" w:hAnsi="Century Gothic" w:cs="Arial"/>
          <w:kern w:val="2"/>
          <w14:ligatures w14:val="standardContextual"/>
        </w:rPr>
        <w:t>activity</w:t>
      </w:r>
      <w:r w:rsidRPr="00CB2208">
        <w:rPr>
          <w:rFonts w:ascii="Century Gothic" w:eastAsia="Calibri" w:hAnsi="Century Gothic" w:cs="Arial"/>
          <w:kern w:val="2"/>
          <w14:ligatures w14:val="standardContextual"/>
        </w:rPr>
        <w:t xml:space="preserve">, BOI seeks to engage </w:t>
      </w:r>
      <w:r w:rsidR="004E735E" w:rsidRPr="004E735E">
        <w:rPr>
          <w:rFonts w:ascii="Century Gothic" w:eastAsia="Century Gothic" w:hAnsi="Century Gothic" w:cs="Century Gothic"/>
          <w:b/>
          <w:color w:val="000000"/>
        </w:rPr>
        <w:t xml:space="preserve">Enterprise Support </w:t>
      </w:r>
      <w:r w:rsidR="00974C0B" w:rsidRPr="004E735E">
        <w:rPr>
          <w:rFonts w:ascii="Century Gothic" w:eastAsia="Century Gothic" w:hAnsi="Century Gothic" w:cs="Century Gothic"/>
          <w:b/>
          <w:color w:val="000000"/>
        </w:rPr>
        <w:t>Organizations</w:t>
      </w:r>
      <w:r w:rsidR="004E735E" w:rsidRPr="004E735E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364E2C">
        <w:rPr>
          <w:rFonts w:ascii="Century Gothic" w:eastAsia="Century Gothic" w:hAnsi="Century Gothic" w:cs="Century Gothic"/>
          <w:b/>
          <w:color w:val="000000"/>
        </w:rPr>
        <w:t xml:space="preserve">(ESOs) </w:t>
      </w:r>
      <w:r w:rsidR="00E73B2E">
        <w:rPr>
          <w:rFonts w:ascii="Century Gothic" w:eastAsia="Century Gothic" w:hAnsi="Century Gothic" w:cs="Century Gothic"/>
          <w:b/>
          <w:color w:val="000000"/>
        </w:rPr>
        <w:t>to Deliver Start</w:t>
      </w:r>
      <w:r w:rsidR="00E73B2E" w:rsidRPr="004E735E">
        <w:rPr>
          <w:rFonts w:ascii="Century Gothic" w:eastAsia="Century Gothic" w:hAnsi="Century Gothic" w:cs="Century Gothic"/>
          <w:b/>
          <w:color w:val="000000"/>
        </w:rPr>
        <w:t>up</w:t>
      </w:r>
      <w:r w:rsidR="004E735E" w:rsidRPr="004E735E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85105B" w:rsidRPr="004E735E">
        <w:rPr>
          <w:rFonts w:ascii="Century Gothic" w:eastAsia="Century Gothic" w:hAnsi="Century Gothic" w:cs="Century Gothic"/>
          <w:b/>
          <w:color w:val="000000"/>
        </w:rPr>
        <w:t>Competition</w:t>
      </w:r>
      <w:r w:rsidR="0085105B">
        <w:rPr>
          <w:rFonts w:ascii="Century Gothic" w:eastAsia="Century Gothic" w:hAnsi="Century Gothic" w:cs="Century Gothic"/>
          <w:b/>
          <w:color w:val="000000"/>
        </w:rPr>
        <w:t>s,</w:t>
      </w:r>
      <w:r w:rsidR="00D53874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974C0B" w:rsidRPr="004E735E">
        <w:rPr>
          <w:rFonts w:ascii="Century Gothic" w:eastAsia="Century Gothic" w:hAnsi="Century Gothic" w:cs="Century Gothic"/>
          <w:b/>
          <w:color w:val="000000"/>
        </w:rPr>
        <w:t>Hackathons</w:t>
      </w:r>
      <w:r w:rsidR="00D53874">
        <w:rPr>
          <w:rFonts w:ascii="Century Gothic" w:eastAsia="Century Gothic" w:hAnsi="Century Gothic" w:cs="Century Gothic"/>
          <w:b/>
          <w:color w:val="000000"/>
        </w:rPr>
        <w:t xml:space="preserve"> as well as mentorship and support</w:t>
      </w:r>
      <w:r w:rsidR="00974C0B" w:rsidRPr="004E735E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974C0B" w:rsidRPr="004E735E">
        <w:rPr>
          <w:rFonts w:ascii="Century Gothic" w:eastAsia="Calibri" w:hAnsi="Century Gothic" w:cs="Arial"/>
          <w:b/>
          <w:kern w:val="2"/>
          <w14:ligatures w14:val="standardContextual"/>
        </w:rPr>
        <w:t>for</w:t>
      </w:r>
      <w:r w:rsidRPr="004E735E">
        <w:rPr>
          <w:rFonts w:ascii="Century Gothic" w:eastAsia="Calibri" w:hAnsi="Century Gothic" w:cs="Arial"/>
          <w:b/>
          <w:kern w:val="2"/>
          <w14:ligatures w14:val="standardContextual"/>
        </w:rPr>
        <w:t xml:space="preserve"> </w:t>
      </w:r>
      <w:r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the Implementation of Islamic Development Bank (ISDB) </w:t>
      </w:r>
      <w:r w:rsidR="004A1FE0">
        <w:rPr>
          <w:rFonts w:ascii="Century Gothic" w:eastAsia="Calibri" w:hAnsi="Century Gothic" w:cs="Arial"/>
          <w:b/>
          <w:bCs/>
          <w:kern w:val="2"/>
          <w14:ligatures w14:val="standardContextual"/>
        </w:rPr>
        <w:t>component</w:t>
      </w:r>
      <w:r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 of </w:t>
      </w:r>
      <w:r w:rsidR="00B729FE">
        <w:rPr>
          <w:rFonts w:ascii="Century Gothic" w:eastAsia="Calibri" w:hAnsi="Century Gothic" w:cs="Arial"/>
          <w:b/>
          <w:bCs/>
          <w:kern w:val="2"/>
          <w14:ligatures w14:val="standardContextual"/>
        </w:rPr>
        <w:t>the</w:t>
      </w:r>
      <w:r w:rsidR="00B729FE"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 Investment</w:t>
      </w:r>
      <w:r w:rsidRPr="004E735E">
        <w:rPr>
          <w:rFonts w:ascii="Century Gothic" w:eastAsia="Calibri" w:hAnsi="Century Gothic" w:cs="Arial"/>
          <w:b/>
          <w:bCs/>
          <w:kern w:val="2"/>
          <w14:ligatures w14:val="standardContextual"/>
        </w:rPr>
        <w:t xml:space="preserve"> in Digital and Creative Enterprises (iDICE) Programme.</w:t>
      </w:r>
    </w:p>
    <w:p w14:paraId="4FEC8E85" w14:textId="77777777" w:rsidR="00A83782" w:rsidRPr="004E735E" w:rsidRDefault="00A83782" w:rsidP="00A64BD8">
      <w:pPr>
        <w:spacing w:after="0" w:line="276" w:lineRule="auto"/>
        <w:jc w:val="both"/>
        <w:rPr>
          <w:rFonts w:ascii="Century Gothic" w:eastAsia="Calibri" w:hAnsi="Century Gothic" w:cs="Arial"/>
          <w:b/>
          <w:bCs/>
          <w:kern w:val="2"/>
          <w14:ligatures w14:val="standardContextual"/>
        </w:rPr>
      </w:pPr>
    </w:p>
    <w:p w14:paraId="7A647481" w14:textId="2E66BD60" w:rsidR="00A83782" w:rsidRDefault="00A83782" w:rsidP="005161F6">
      <w:pPr>
        <w:pStyle w:val="ListParagraph"/>
        <w:numPr>
          <w:ilvl w:val="0"/>
          <w:numId w:val="3"/>
        </w:numPr>
        <w:spacing w:after="0"/>
        <w:ind w:left="0"/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</w:pPr>
      <w:r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  <w:t>Objective</w:t>
      </w:r>
    </w:p>
    <w:p w14:paraId="409EC200" w14:textId="77777777" w:rsidR="005161F6" w:rsidRPr="00B8426B" w:rsidRDefault="005161F6" w:rsidP="00A64BD8">
      <w:pPr>
        <w:pStyle w:val="ListParagraph"/>
        <w:spacing w:after="0"/>
        <w:ind w:left="0"/>
        <w:rPr>
          <w:rFonts w:ascii="Century Gothic" w:eastAsia="Century Gothic" w:hAnsi="Century Gothic" w:cs="Century Gothic"/>
          <w:b/>
          <w:lang w:val="en-GB" w:eastAsia="en-GB"/>
          <w14:ligatures w14:val="standardContextual"/>
        </w:rPr>
      </w:pPr>
    </w:p>
    <w:p w14:paraId="60BAF4C4" w14:textId="77777777" w:rsidR="0085105B" w:rsidRPr="0085105B" w:rsidRDefault="0085105B" w:rsidP="0085105B">
      <w:pPr>
        <w:spacing w:after="0" w:line="276" w:lineRule="auto"/>
        <w:jc w:val="both"/>
        <w:rPr>
          <w:rFonts w:ascii="Century Gothic" w:eastAsia="Calibri" w:hAnsi="Century Gothic" w:cs="Arial"/>
          <w:kern w:val="2"/>
          <w14:ligatures w14:val="standardContextual"/>
        </w:rPr>
      </w:pPr>
      <w:r w:rsidRPr="0085105B">
        <w:rPr>
          <w:rFonts w:ascii="Century Gothic" w:eastAsia="Calibri" w:hAnsi="Century Gothic" w:cs="Arial"/>
          <w:kern w:val="2"/>
          <w14:ligatures w14:val="standardContextual"/>
        </w:rPr>
        <w:t xml:space="preserve">The primary objective of this consultancy is for Enterprise Support Organizations (ESOs) to develop and execute a comprehensive implementation plan for delivering competitions and hackathons that identify and support innovative startups within Nigeria's technology and creative ecosystems. This includes designing structured programs to discover high-potential ventures, providing intensive mentorship to accelerate their growth and scalability, and ensuring full alignment with the iDICE programme's objectives, Islamic </w:t>
      </w:r>
      <w:r w:rsidRPr="0085105B">
        <w:rPr>
          <w:rFonts w:ascii="Century Gothic" w:eastAsia="Calibri" w:hAnsi="Century Gothic" w:cs="Arial"/>
          <w:kern w:val="2"/>
          <w14:ligatures w14:val="standardContextual"/>
        </w:rPr>
        <w:lastRenderedPageBreak/>
        <w:t>Development Bank (IsDB) guidelines, and global best practices while maintaining compliance with Sharia financing principles throughout all activities. The ESOs will be responsible for creating an end-to-end framework that fosters startup development through competitive selection processes, capacity-building initiatives, and ongoing support mechanisms that adhere to regulatory requirements and promote sustainable ecosystem growth.</w:t>
      </w:r>
    </w:p>
    <w:p w14:paraId="50309602" w14:textId="77777777" w:rsidR="002533E3" w:rsidRPr="00CB2208" w:rsidRDefault="002533E3" w:rsidP="00A64BD8">
      <w:pPr>
        <w:spacing w:after="0" w:line="276" w:lineRule="auto"/>
        <w:jc w:val="both"/>
        <w:rPr>
          <w:rFonts w:ascii="Century Gothic" w:eastAsia="Calibri" w:hAnsi="Century Gothic" w:cs="Calibri"/>
        </w:rPr>
      </w:pPr>
    </w:p>
    <w:p w14:paraId="5F7B1B8E" w14:textId="7D01105E" w:rsidR="005C22EF" w:rsidRPr="00A00C1B" w:rsidRDefault="002E163C" w:rsidP="00A00C1B">
      <w:pPr>
        <w:pStyle w:val="ListParagraph"/>
        <w:numPr>
          <w:ilvl w:val="0"/>
          <w:numId w:val="3"/>
        </w:numPr>
        <w:spacing w:after="0"/>
        <w:ind w:left="0"/>
        <w:rPr>
          <w:rFonts w:ascii="Century Gothic" w:eastAsia="Calibri" w:hAnsi="Century Gothic" w:cs="Calibri"/>
          <w:b/>
        </w:rPr>
      </w:pPr>
      <w:r w:rsidRPr="00CB2208">
        <w:rPr>
          <w:rFonts w:ascii="Century Gothic" w:eastAsia="Calibri" w:hAnsi="Century Gothic" w:cs="Calibri"/>
          <w:b/>
        </w:rPr>
        <w:t xml:space="preserve">Scope of </w:t>
      </w:r>
      <w:r w:rsidR="00A83782">
        <w:rPr>
          <w:rFonts w:ascii="Century Gothic" w:eastAsia="Calibri" w:hAnsi="Century Gothic" w:cs="Calibri"/>
          <w:b/>
        </w:rPr>
        <w:t>w</w:t>
      </w:r>
      <w:r w:rsidRPr="00CB2208">
        <w:rPr>
          <w:rFonts w:ascii="Century Gothic" w:eastAsia="Calibri" w:hAnsi="Century Gothic" w:cs="Calibri"/>
          <w:b/>
        </w:rPr>
        <w:t>ork</w:t>
      </w:r>
    </w:p>
    <w:p w14:paraId="653B2649" w14:textId="7B25E14D" w:rsidR="002E163C" w:rsidRDefault="005C22EF" w:rsidP="00A00C1B">
      <w:pPr>
        <w:spacing w:after="0" w:line="240" w:lineRule="auto"/>
        <w:jc w:val="both"/>
        <w:rPr>
          <w:rFonts w:ascii="Century Gothic" w:eastAsia="Calibri" w:hAnsi="Century Gothic" w:cs="Calibri"/>
        </w:rPr>
      </w:pPr>
      <w:r w:rsidRPr="00A64BD8">
        <w:rPr>
          <w:rFonts w:ascii="Century Gothic" w:eastAsia="Calibri" w:hAnsi="Century Gothic" w:cs="Calibri"/>
        </w:rPr>
        <w:t xml:space="preserve">The </w:t>
      </w:r>
      <w:r w:rsidR="002F55B4">
        <w:rPr>
          <w:rFonts w:ascii="Century Gothic" w:eastAsia="Calibri" w:hAnsi="Century Gothic" w:cs="Calibri"/>
        </w:rPr>
        <w:t>ESO</w:t>
      </w:r>
      <w:r w:rsidR="00C51A2E">
        <w:rPr>
          <w:rFonts w:ascii="Century Gothic" w:eastAsia="Calibri" w:hAnsi="Century Gothic" w:cs="Calibri"/>
        </w:rPr>
        <w:t xml:space="preserve">s will be required to carry out </w:t>
      </w:r>
      <w:r w:rsidRPr="00A64BD8">
        <w:rPr>
          <w:rFonts w:ascii="Century Gothic" w:eastAsia="Calibri" w:hAnsi="Century Gothic" w:cs="Calibri"/>
        </w:rPr>
        <w:t>the following activities:</w:t>
      </w:r>
    </w:p>
    <w:p w14:paraId="3D292921" w14:textId="77777777" w:rsidR="0085105B" w:rsidRDefault="0085105B" w:rsidP="00A00C1B">
      <w:pPr>
        <w:pStyle w:val="ds-markdown-paragraph"/>
        <w:numPr>
          <w:ilvl w:val="0"/>
          <w:numId w:val="23"/>
        </w:numPr>
        <w:spacing w:before="24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Actively engage with and map the tech and creative ecosystems to assess critical support areas for startups and determine innovation opportunities under IsDB funding, while conducting needs assessments of pre-selected startups to evaluate their technical capabilities, business viability, financial systems, and Shariah-compliance status.</w:t>
      </w:r>
    </w:p>
    <w:p w14:paraId="51A24B4C" w14:textId="77777777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Develop and implement a holistic training plan for competitions and hackathons, incorporating customized mentorship components that address identified startup gaps, Islamic finance principles (including Murabaha, Ijara, and Mudaraba structures), and sector-specific technical assistance.</w:t>
      </w:r>
    </w:p>
    <w:p w14:paraId="25EBDF63" w14:textId="77777777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Create and apply selection criteria for startup applications that align with programme objectives and IsDB funding requirements, while establishing a structured mentorship matching system pairing startups with relevant industry experts and Islamic finance specialists.</w:t>
      </w:r>
    </w:p>
    <w:p w14:paraId="397FA420" w14:textId="69100064" w:rsidR="0085105B" w:rsidRP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Design and launch the application process, including outreach strategies to ensure diverse participation, followed by rigorous screening and selection of qualified startups for competitions.</w:t>
      </w:r>
    </w:p>
    <w:p w14:paraId="2E17634B" w14:textId="2C157352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Plan and execute competitions and hackathons, including: developing fair scoring criteria, selecting qualified judges, securing venues, managing all logistics, and implementing monitoring mechanisms to track financial health, job creation (disaggregated by gender/age), and Shariah-compliance metrics.</w:t>
      </w:r>
    </w:p>
    <w:p w14:paraId="6E930645" w14:textId="0C9C0FEC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Deliver intensive capacity building programs covering: Islamic finance compliance, financial management, business model refinement, investor pitch development, market penetration strategies, and climate-smart bu</w:t>
      </w:r>
      <w:r w:rsidR="00C448FD">
        <w:rPr>
          <w:rFonts w:ascii="Century Gothic" w:hAnsi="Century Gothic"/>
          <w:sz w:val="22"/>
          <w:szCs w:val="22"/>
        </w:rPr>
        <w:t>siness practices through</w:t>
      </w:r>
      <w:r w:rsidRPr="0085105B">
        <w:rPr>
          <w:rFonts w:ascii="Century Gothic" w:hAnsi="Century Gothic"/>
          <w:sz w:val="22"/>
          <w:szCs w:val="22"/>
        </w:rPr>
        <w:t xml:space="preserve"> mentor</w:t>
      </w:r>
      <w:r w:rsidR="00C448FD">
        <w:rPr>
          <w:rFonts w:ascii="Century Gothic" w:hAnsi="Century Gothic"/>
          <w:sz w:val="22"/>
          <w:szCs w:val="22"/>
        </w:rPr>
        <w:t>ship sessions, workshops, and</w:t>
      </w:r>
      <w:r w:rsidRPr="0085105B">
        <w:rPr>
          <w:rFonts w:ascii="Century Gothic" w:hAnsi="Century Gothic"/>
          <w:sz w:val="22"/>
          <w:szCs w:val="22"/>
        </w:rPr>
        <w:t xml:space="preserve"> progress reviews.</w:t>
      </w:r>
    </w:p>
    <w:p w14:paraId="4AFFC179" w14:textId="77777777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lastRenderedPageBreak/>
        <w:t>Provide comprehensive post-event support including: investor readiness programs (pitch clinics, demo days), market linkage facilitation, product development guidance, operational efficiency optimization, and management of an alumni network platform for sustained peer learning.</w:t>
      </w:r>
    </w:p>
    <w:p w14:paraId="5AEBC2BC" w14:textId="77777777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Implement rigorous monitoring and evaluation using BOI's ERP/MIS systems to track startup progress, while organizing regular matchmaking sessions with Partner Financial Institutions (PFIs) for Shariah-compliant funding opportunities.</w:t>
      </w:r>
    </w:p>
    <w:p w14:paraId="6F6E3290" w14:textId="77777777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Submit detailed reports including: bi-monthly progress updates with performance metrics and challenges, a comprehensive final event report highlighting selected startups, and a final impact assessment with success stories, lessons learned, and scaling recommendations.</w:t>
      </w:r>
    </w:p>
    <w:p w14:paraId="63695FCE" w14:textId="77F0E42B" w:rsidR="0085105B" w:rsidRDefault="0085105B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85105B">
        <w:rPr>
          <w:rFonts w:ascii="Century Gothic" w:hAnsi="Century Gothic"/>
          <w:sz w:val="22"/>
          <w:szCs w:val="22"/>
        </w:rPr>
        <w:t>Carry out any other duties as may be delegated by the PCU of iDICE to ensure programme objectives are met.</w:t>
      </w:r>
    </w:p>
    <w:p w14:paraId="4E69A732" w14:textId="217A722E" w:rsidR="00982800" w:rsidRDefault="00982800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982800">
        <w:rPr>
          <w:rFonts w:ascii="Century Gothic" w:hAnsi="Century Gothic"/>
          <w:sz w:val="22"/>
          <w:szCs w:val="22"/>
        </w:rPr>
        <w:t>Develop and execute structured mentorship programs tailored to the unique needs of startups in the tech and creative industries, including one-on-one sessions, group workshops, and peer learning opportunities</w:t>
      </w:r>
    </w:p>
    <w:p w14:paraId="4A64F931" w14:textId="7CC260BB" w:rsidR="00982800" w:rsidRDefault="00982800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982800">
        <w:rPr>
          <w:rFonts w:ascii="Century Gothic" w:hAnsi="Century Gothic"/>
          <w:sz w:val="22"/>
          <w:szCs w:val="22"/>
        </w:rPr>
        <w:t>Identify, onboard, and manage a diverse pool of experienced mentors from relevant sectors, ensuring strategic matching with startups based on industry, growth stage, and specific challenges.</w:t>
      </w:r>
    </w:p>
    <w:p w14:paraId="6230214F" w14:textId="0F787A2A" w:rsidR="00982800" w:rsidRDefault="00982800" w:rsidP="0085105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982800">
        <w:rPr>
          <w:rFonts w:ascii="Century Gothic" w:hAnsi="Century Gothic"/>
          <w:sz w:val="22"/>
          <w:szCs w:val="22"/>
        </w:rPr>
        <w:t>Facilitate regular training sessions, masterclasses, and clinics focused on business development, product innovation, market access, fundraising, and creative entrepreneurship.</w:t>
      </w:r>
    </w:p>
    <w:p w14:paraId="25C69A3C" w14:textId="77777777" w:rsidR="00A00C1B" w:rsidRPr="00A00C1B" w:rsidRDefault="00982800" w:rsidP="00A00C1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Pr="00982800">
        <w:rPr>
          <w:rFonts w:ascii="Century Gothic" w:hAnsi="Century Gothic"/>
          <w:sz w:val="22"/>
          <w:szCs w:val="22"/>
        </w:rPr>
        <w:t>Establish clear KPIs and feedback mechanisms to track progress, measure impact, and continuously improve the mentorship experience for both mentors and mentees.</w:t>
      </w:r>
    </w:p>
    <w:p w14:paraId="325AF7A3" w14:textId="0929DB16" w:rsidR="00982800" w:rsidRPr="00335C83" w:rsidRDefault="003B4D3A" w:rsidP="00A00C1B">
      <w:pPr>
        <w:pStyle w:val="ds-markdown-paragraph"/>
        <w:numPr>
          <w:ilvl w:val="0"/>
          <w:numId w:val="23"/>
        </w:numPr>
        <w:spacing w:before="24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335C83">
        <w:rPr>
          <w:rFonts w:ascii="Century Gothic" w:hAnsi="Century Gothic" w:cs="Segoe UI"/>
          <w:sz w:val="22"/>
          <w:szCs w:val="22"/>
        </w:rPr>
        <w:t>Ensure ≥30% women-led teams, ≥30% climate/green startups, and 50% youth leadership</w:t>
      </w:r>
      <w:r w:rsidR="00584BB8" w:rsidRPr="00335C83">
        <w:rPr>
          <w:rFonts w:ascii="Century Gothic" w:hAnsi="Century Gothic" w:cs="Segoe UI"/>
          <w:sz w:val="22"/>
          <w:szCs w:val="22"/>
        </w:rPr>
        <w:t xml:space="preserve">, </w:t>
      </w:r>
      <w:r w:rsidR="00584BB8" w:rsidRPr="00335C83">
        <w:rPr>
          <w:rFonts w:ascii="Century Gothic" w:hAnsi="Century Gothic"/>
          <w:sz w:val="22"/>
          <w:szCs w:val="22"/>
          <w:lang w:val="en-GB"/>
        </w:rPr>
        <w:t>50% startup survival at 12 months</w:t>
      </w:r>
      <w:r w:rsidRPr="00335C83">
        <w:rPr>
          <w:rFonts w:ascii="Century Gothic" w:hAnsi="Century Gothic" w:cs="Segoe UI"/>
          <w:sz w:val="22"/>
          <w:szCs w:val="22"/>
        </w:rPr>
        <w:t xml:space="preserve"> in implementation of the deliverables</w:t>
      </w:r>
    </w:p>
    <w:p w14:paraId="2E59AE97" w14:textId="127D59AC" w:rsidR="002E163C" w:rsidRPr="00C448FD" w:rsidRDefault="002E163C" w:rsidP="00C448FD">
      <w:pPr>
        <w:jc w:val="both"/>
        <w:rPr>
          <w:rFonts w:ascii="Century Gothic" w:eastAsia="Calibri" w:hAnsi="Century Gothic" w:cs="Calibri"/>
        </w:rPr>
      </w:pPr>
    </w:p>
    <w:p w14:paraId="236E97B9" w14:textId="66ACCD94" w:rsidR="002E163C" w:rsidRPr="00A64BD8" w:rsidRDefault="005B30AA" w:rsidP="00A64BD8">
      <w:pPr>
        <w:pStyle w:val="ListParagraph"/>
        <w:numPr>
          <w:ilvl w:val="0"/>
          <w:numId w:val="3"/>
        </w:numPr>
        <w:spacing w:after="0"/>
        <w:ind w:left="0"/>
        <w:rPr>
          <w:rFonts w:ascii="Century Gothic" w:eastAsia="Calibri" w:hAnsi="Century Gothic" w:cs="Calibri"/>
          <w:b/>
        </w:rPr>
      </w:pPr>
      <w:r>
        <w:rPr>
          <w:rFonts w:ascii="Century Gothic" w:eastAsia="Calibri" w:hAnsi="Century Gothic" w:cs="Calibri"/>
          <w:b/>
        </w:rPr>
        <w:t>Minimum Qualifications and Experience</w:t>
      </w:r>
    </w:p>
    <w:p w14:paraId="2E193813" w14:textId="0AFDFD24" w:rsidR="00A752A6" w:rsidRPr="00A64BD8" w:rsidRDefault="00B4480E" w:rsidP="00A64BD8">
      <w:pPr>
        <w:spacing w:line="240" w:lineRule="auto"/>
        <w:jc w:val="both"/>
        <w:rPr>
          <w:rFonts w:ascii="Century Gothic" w:eastAsia="Arial" w:hAnsi="Century Gothic" w:cs="Times New Roman"/>
        </w:rPr>
      </w:pPr>
      <w:r w:rsidRPr="00335826">
        <w:rPr>
          <w:rFonts w:ascii="Century Gothic" w:eastAsia="Century Gothic" w:hAnsi="Century Gothic" w:cs="Century Gothic"/>
          <w:bCs/>
          <w:color w:val="000000" w:themeColor="text1"/>
        </w:rPr>
        <w:t xml:space="preserve">Key qualifications and experience required for this </w:t>
      </w:r>
      <w:r>
        <w:rPr>
          <w:rFonts w:ascii="Century Gothic" w:eastAsia="Century Gothic" w:hAnsi="Century Gothic" w:cs="Century Gothic"/>
          <w:bCs/>
          <w:color w:val="000000" w:themeColor="text1"/>
        </w:rPr>
        <w:t>c</w:t>
      </w:r>
      <w:r w:rsidRPr="00335826">
        <w:rPr>
          <w:rFonts w:ascii="Century Gothic" w:eastAsia="Century Gothic" w:hAnsi="Century Gothic" w:cs="Century Gothic"/>
          <w:bCs/>
          <w:color w:val="000000" w:themeColor="text1"/>
        </w:rPr>
        <w:t>onsultancy include</w:t>
      </w:r>
      <w:r w:rsidR="005B30AA">
        <w:rPr>
          <w:rFonts w:ascii="Century Gothic" w:eastAsia="Arial" w:hAnsi="Century Gothic" w:cs="Times New Roman"/>
        </w:rPr>
        <w:t>:</w:t>
      </w:r>
    </w:p>
    <w:p w14:paraId="1B447E32" w14:textId="3B5C2F56" w:rsidR="002E163C" w:rsidRDefault="00A752A6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>Must be an ongoing and v</w:t>
      </w:r>
      <w:r w:rsidR="00DD5DDA">
        <w:rPr>
          <w:rFonts w:ascii="Century Gothic" w:eastAsia="Arial" w:hAnsi="Century Gothic" w:cs="Times New Roman"/>
        </w:rPr>
        <w:t xml:space="preserve">iable incubator, accelerator, enterprise support center or consulting service and </w:t>
      </w:r>
      <w:r>
        <w:rPr>
          <w:rFonts w:ascii="Century Gothic" w:eastAsia="Arial" w:hAnsi="Century Gothic" w:cs="Times New Roman"/>
        </w:rPr>
        <w:t>have vast knowledge and experience in the tech and/or creative ecosystem</w:t>
      </w:r>
      <w:r w:rsidR="002E163C">
        <w:rPr>
          <w:rFonts w:ascii="Century Gothic" w:eastAsia="Arial" w:hAnsi="Century Gothic" w:cs="Times New Roman"/>
        </w:rPr>
        <w:t>.</w:t>
      </w:r>
    </w:p>
    <w:p w14:paraId="2DA9F7F1" w14:textId="1488570B" w:rsidR="002E163C" w:rsidRPr="00C650CE" w:rsidRDefault="002E163C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C650CE">
        <w:rPr>
          <w:rFonts w:ascii="Century Gothic" w:eastAsia="Arial" w:hAnsi="Century Gothic" w:cs="Times New Roman"/>
        </w:rPr>
        <w:lastRenderedPageBreak/>
        <w:t xml:space="preserve">Minimum </w:t>
      </w:r>
      <w:r w:rsidR="00DD5DDA">
        <w:rPr>
          <w:rFonts w:ascii="Century Gothic" w:eastAsia="Arial" w:hAnsi="Century Gothic" w:cs="Times New Roman"/>
        </w:rPr>
        <w:t>five</w:t>
      </w:r>
      <w:r w:rsidR="00F00974" w:rsidRPr="00C650CE">
        <w:rPr>
          <w:rFonts w:ascii="Century Gothic" w:eastAsia="Arial" w:hAnsi="Century Gothic" w:cs="Times New Roman"/>
        </w:rPr>
        <w:t xml:space="preserve"> </w:t>
      </w:r>
      <w:r w:rsidRPr="00C650CE">
        <w:rPr>
          <w:rFonts w:ascii="Century Gothic" w:eastAsia="Arial" w:hAnsi="Century Gothic" w:cs="Times New Roman"/>
        </w:rPr>
        <w:t>(</w:t>
      </w:r>
      <w:r w:rsidR="00EC4658">
        <w:rPr>
          <w:rFonts w:ascii="Century Gothic" w:eastAsia="Arial" w:hAnsi="Century Gothic" w:cs="Times New Roman"/>
        </w:rPr>
        <w:t>5</w:t>
      </w:r>
      <w:r w:rsidRPr="00C650CE">
        <w:rPr>
          <w:rFonts w:ascii="Century Gothic" w:eastAsia="Arial" w:hAnsi="Century Gothic" w:cs="Times New Roman"/>
        </w:rPr>
        <w:t>) years relevant</w:t>
      </w:r>
      <w:r w:rsidR="00295353">
        <w:rPr>
          <w:rFonts w:ascii="Century Gothic" w:eastAsia="Arial" w:hAnsi="Century Gothic" w:cs="Times New Roman"/>
        </w:rPr>
        <w:t xml:space="preserve"> experience</w:t>
      </w:r>
      <w:r w:rsidRPr="00C650CE">
        <w:rPr>
          <w:rFonts w:ascii="Century Gothic" w:eastAsia="Arial" w:hAnsi="Century Gothic" w:cs="Times New Roman"/>
        </w:rPr>
        <w:t xml:space="preserve"> working</w:t>
      </w:r>
      <w:r w:rsidR="00F00974">
        <w:rPr>
          <w:rFonts w:ascii="Century Gothic" w:eastAsia="Arial" w:hAnsi="Century Gothic" w:cs="Times New Roman"/>
        </w:rPr>
        <w:t xml:space="preserve"> </w:t>
      </w:r>
      <w:r w:rsidR="00A752A6">
        <w:rPr>
          <w:rFonts w:ascii="Century Gothic" w:eastAsia="Arial" w:hAnsi="Century Gothic" w:cs="Times New Roman"/>
        </w:rPr>
        <w:t>in the tech or creative space and providing high quality support to startups.</w:t>
      </w:r>
      <w:r w:rsidRPr="00C650CE">
        <w:rPr>
          <w:rFonts w:ascii="Century Gothic" w:eastAsia="Arial" w:hAnsi="Century Gothic" w:cs="Times New Roman"/>
        </w:rPr>
        <w:t xml:space="preserve"> </w:t>
      </w:r>
    </w:p>
    <w:p w14:paraId="6C999FBB" w14:textId="3911AC6F" w:rsidR="002E163C" w:rsidRDefault="002E163C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C650CE">
        <w:rPr>
          <w:rFonts w:ascii="Century Gothic" w:eastAsia="Arial" w:hAnsi="Century Gothic" w:cs="Times New Roman"/>
        </w:rPr>
        <w:t>Experience in training/capacity building.</w:t>
      </w:r>
    </w:p>
    <w:p w14:paraId="7611019A" w14:textId="4173DC59" w:rsidR="00BD5A13" w:rsidRDefault="00BD5A13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 xml:space="preserve">Experience </w:t>
      </w:r>
      <w:r w:rsidRPr="00BD5A13">
        <w:rPr>
          <w:rFonts w:ascii="Century Gothic" w:eastAsia="Arial" w:hAnsi="Century Gothic" w:cs="Times New Roman"/>
        </w:rPr>
        <w:t>in Sharia-compliant financing and global best practices.</w:t>
      </w:r>
    </w:p>
    <w:p w14:paraId="08298D2A" w14:textId="1B3EBA6C" w:rsidR="00554A55" w:rsidRDefault="00A752A6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 xml:space="preserve">Experience in holding competitions and hackathons in the </w:t>
      </w:r>
      <w:r w:rsidR="00554A55">
        <w:rPr>
          <w:rFonts w:ascii="Century Gothic" w:eastAsia="Arial" w:hAnsi="Century Gothic" w:cs="Times New Roman"/>
        </w:rPr>
        <w:t>tech and/or creative ecosystem.</w:t>
      </w:r>
    </w:p>
    <w:p w14:paraId="57388BE7" w14:textId="3072E955" w:rsidR="00554A55" w:rsidRDefault="00554A55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554A55">
        <w:rPr>
          <w:rFonts w:ascii="Century Gothic" w:eastAsia="Arial" w:hAnsi="Century Gothic" w:cs="Times New Roman"/>
        </w:rPr>
        <w:t xml:space="preserve">Experience in providing quality </w:t>
      </w:r>
      <w:r w:rsidR="004A1FE0">
        <w:rPr>
          <w:rFonts w:ascii="Century Gothic" w:eastAsia="Arial" w:hAnsi="Century Gothic" w:cs="Times New Roman"/>
        </w:rPr>
        <w:t xml:space="preserve">and </w:t>
      </w:r>
      <w:r w:rsidRPr="00554A55">
        <w:rPr>
          <w:rFonts w:ascii="Century Gothic" w:eastAsia="Arial" w:hAnsi="Century Gothic" w:cs="Times New Roman"/>
        </w:rPr>
        <w:t xml:space="preserve">comprehensive analytical reports. </w:t>
      </w:r>
    </w:p>
    <w:p w14:paraId="4104A22B" w14:textId="207A1C5B" w:rsidR="00554A55" w:rsidRDefault="00554A55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554A55">
        <w:rPr>
          <w:rFonts w:ascii="Century Gothic" w:eastAsia="Arial" w:hAnsi="Century Gothic" w:cs="Times New Roman"/>
        </w:rPr>
        <w:t>Proficiency in multiple languages for effective communication across diverse regions within Nigeria.</w:t>
      </w:r>
    </w:p>
    <w:p w14:paraId="079E8EAD" w14:textId="1A9A3F0A" w:rsidR="00BD5A13" w:rsidRDefault="000B3366" w:rsidP="00A64BD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>
        <w:rPr>
          <w:rFonts w:ascii="Century Gothic" w:eastAsia="Arial" w:hAnsi="Century Gothic" w:cs="Times New Roman"/>
        </w:rPr>
        <w:t xml:space="preserve">Regional presence in the Southern region </w:t>
      </w:r>
      <w:r w:rsidR="00BD5A13" w:rsidRPr="00BD5A13">
        <w:rPr>
          <w:rFonts w:ascii="Century Gothic" w:eastAsia="Arial" w:hAnsi="Century Gothic" w:cs="Times New Roman"/>
        </w:rPr>
        <w:t>and multilingual proficiency.</w:t>
      </w:r>
    </w:p>
    <w:p w14:paraId="7832614E" w14:textId="17CBD932" w:rsidR="00BD5A13" w:rsidRDefault="00554A55" w:rsidP="00BD5A13">
      <w:pPr>
        <w:pStyle w:val="ListParagraph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Century Gothic" w:eastAsia="Arial" w:hAnsi="Century Gothic" w:cs="Times New Roman"/>
        </w:rPr>
      </w:pPr>
      <w:r w:rsidRPr="00554A55">
        <w:rPr>
          <w:rFonts w:ascii="Century Gothic" w:eastAsia="Arial" w:hAnsi="Century Gothic" w:cs="Times New Roman"/>
        </w:rPr>
        <w:t>Expertise with international standards and practices, ensuring global competitiveness.</w:t>
      </w:r>
    </w:p>
    <w:p w14:paraId="02580C57" w14:textId="77777777" w:rsidR="00BD5A13" w:rsidRPr="00BD5A13" w:rsidRDefault="00BD5A13" w:rsidP="00BD5A13">
      <w:pPr>
        <w:pStyle w:val="ListParagraph"/>
        <w:spacing w:before="240" w:after="0" w:line="240" w:lineRule="auto"/>
        <w:ind w:left="357"/>
        <w:contextualSpacing w:val="0"/>
        <w:jc w:val="both"/>
        <w:rPr>
          <w:rFonts w:ascii="Century Gothic" w:eastAsia="Arial" w:hAnsi="Century Gothic" w:cs="Times New Roman"/>
        </w:rPr>
      </w:pPr>
    </w:p>
    <w:p w14:paraId="569D430F" w14:textId="5AD9DF6B" w:rsidR="002E163C" w:rsidRPr="00A64BD8" w:rsidRDefault="002E163C" w:rsidP="00A64BD8">
      <w:pPr>
        <w:pStyle w:val="ListParagraph"/>
        <w:numPr>
          <w:ilvl w:val="0"/>
          <w:numId w:val="3"/>
        </w:numPr>
        <w:spacing w:before="240" w:after="0"/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Reporting</w:t>
      </w:r>
      <w:r w:rsidR="00580F1D">
        <w:rPr>
          <w:rFonts w:ascii="Century Gothic" w:eastAsia="Calibri" w:hAnsi="Century Gothic" w:cs="Calibri"/>
          <w:b/>
        </w:rPr>
        <w:t xml:space="preserve"> and Deliverables</w:t>
      </w:r>
      <w:r w:rsidR="00A00C1B">
        <w:rPr>
          <w:rFonts w:ascii="Century Gothic" w:eastAsia="Calibri" w:hAnsi="Century Gothic" w:cs="Calibri"/>
          <w:b/>
        </w:rPr>
        <w:t>**</w:t>
      </w:r>
    </w:p>
    <w:p w14:paraId="6A227D66" w14:textId="03DC589A" w:rsidR="002E163C" w:rsidRDefault="002E163C" w:rsidP="00A64BD8">
      <w:pPr>
        <w:spacing w:after="0" w:line="276" w:lineRule="auto"/>
        <w:jc w:val="both"/>
        <w:rPr>
          <w:rFonts w:ascii="Century Gothic" w:eastAsia="Arial" w:hAnsi="Century Gothic" w:cs="Times New Roman"/>
          <w:bCs/>
        </w:rPr>
      </w:pPr>
      <w:r w:rsidRPr="00C650CE">
        <w:rPr>
          <w:rFonts w:ascii="Century Gothic" w:eastAsia="Arial" w:hAnsi="Century Gothic" w:cs="Times New Roman"/>
          <w:bCs/>
        </w:rPr>
        <w:t xml:space="preserve">The </w:t>
      </w:r>
      <w:r w:rsidR="00554A55" w:rsidRPr="00554A55">
        <w:rPr>
          <w:rFonts w:ascii="Century Gothic" w:eastAsia="Arial" w:hAnsi="Century Gothic" w:cs="Times New Roman"/>
          <w:b/>
          <w:bCs/>
        </w:rPr>
        <w:t xml:space="preserve">Enterprise Support Organizations </w:t>
      </w:r>
      <w:r w:rsidRPr="00CB2208">
        <w:rPr>
          <w:rFonts w:ascii="Century Gothic" w:eastAsia="Arial" w:hAnsi="Century Gothic" w:cs="Times New Roman"/>
          <w:bCs/>
        </w:rPr>
        <w:t xml:space="preserve">shall report to the iDICE Programme through the Programme Coordination Unit. </w:t>
      </w:r>
      <w:r w:rsidR="003E206E" w:rsidRPr="003E206E">
        <w:rPr>
          <w:rFonts w:ascii="Century Gothic" w:eastAsia="Arial" w:hAnsi="Century Gothic" w:cs="Times New Roman"/>
          <w:bCs/>
        </w:rPr>
        <w:t xml:space="preserve">The </w:t>
      </w:r>
      <w:r w:rsidR="0050220E">
        <w:rPr>
          <w:rFonts w:ascii="Century Gothic" w:eastAsia="Arial" w:hAnsi="Century Gothic" w:cs="Times New Roman"/>
          <w:bCs/>
        </w:rPr>
        <w:t>ESOs</w:t>
      </w:r>
      <w:r w:rsidR="003E206E" w:rsidRPr="003E206E">
        <w:rPr>
          <w:rFonts w:ascii="Century Gothic" w:eastAsia="Arial" w:hAnsi="Century Gothic" w:cs="Times New Roman"/>
          <w:bCs/>
        </w:rPr>
        <w:t xml:space="preserve"> shall prepare comprehensive reports that are </w:t>
      </w:r>
      <w:r w:rsidR="00E73B2E" w:rsidRPr="003E206E">
        <w:rPr>
          <w:rFonts w:ascii="Century Gothic" w:eastAsia="Arial" w:hAnsi="Century Gothic" w:cs="Times New Roman"/>
          <w:bCs/>
        </w:rPr>
        <w:t>well organized</w:t>
      </w:r>
      <w:r w:rsidR="003E206E" w:rsidRPr="003E206E">
        <w:rPr>
          <w:rFonts w:ascii="Century Gothic" w:eastAsia="Arial" w:hAnsi="Century Gothic" w:cs="Times New Roman"/>
          <w:bCs/>
        </w:rPr>
        <w:t xml:space="preserve">, data-driven, and presented in a clear and easily understandable format for the iDICE programme. The </w:t>
      </w:r>
      <w:r w:rsidR="0050220E">
        <w:rPr>
          <w:rFonts w:ascii="Century Gothic" w:eastAsia="Arial" w:hAnsi="Century Gothic" w:cs="Times New Roman"/>
          <w:bCs/>
        </w:rPr>
        <w:t>ESOs</w:t>
      </w:r>
      <w:r w:rsidR="003E206E" w:rsidRPr="003E206E">
        <w:rPr>
          <w:rFonts w:ascii="Century Gothic" w:eastAsia="Arial" w:hAnsi="Century Gothic" w:cs="Times New Roman"/>
          <w:bCs/>
        </w:rPr>
        <w:t xml:space="preserve"> shall submit the following deliverables:</w:t>
      </w:r>
    </w:p>
    <w:p w14:paraId="279C7D27" w14:textId="77777777" w:rsidR="00AD6F68" w:rsidRDefault="00AD6F68" w:rsidP="00A64BD8">
      <w:pPr>
        <w:spacing w:after="0" w:line="276" w:lineRule="auto"/>
        <w:jc w:val="both"/>
        <w:rPr>
          <w:rFonts w:ascii="Century Gothic" w:eastAsia="Arial" w:hAnsi="Century Gothic" w:cs="Times New Roman"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95"/>
        <w:gridCol w:w="2103"/>
        <w:gridCol w:w="5442"/>
        <w:gridCol w:w="1215"/>
      </w:tblGrid>
      <w:tr w:rsidR="00AD6F68" w:rsidRPr="00A00C1B" w14:paraId="4FDE3AE3" w14:textId="77777777" w:rsidTr="00A00C1B">
        <w:trPr>
          <w:trHeight w:val="2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4CA2F" w14:textId="77777777" w:rsidR="00AD6F68" w:rsidRPr="00A00C1B" w:rsidRDefault="00AD6F68">
            <w:pPr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S/N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D4BB5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Deliverable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E4867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Description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75C1" w14:textId="611D7F71" w:rsidR="00AD6F68" w:rsidRPr="00A00C1B" w:rsidRDefault="00A00C1B" w:rsidP="00AD6F6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b/>
                <w:bCs/>
                <w:color w:val="404040"/>
              </w:rPr>
              <w:t>TIMELINE*</w:t>
            </w:r>
          </w:p>
        </w:tc>
      </w:tr>
      <w:tr w:rsidR="00AD6F68" w:rsidRPr="00A00C1B" w14:paraId="2FC9A0D5" w14:textId="77777777" w:rsidTr="00A00C1B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0523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FCE0D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Ecosystem Assessment Report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CDB8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Comprehensive analysis of tech/creative ecosystems identifying key innovation areas and startup support needs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F591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D+14 days</w:t>
            </w:r>
          </w:p>
        </w:tc>
      </w:tr>
      <w:tr w:rsidR="00AD6F68" w:rsidRPr="00A00C1B" w14:paraId="7CD1C714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C718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DB01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Training Plan &amp; Curriculum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95CC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Detailed framework for competition preparation including modules, schedules and trainer requirements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842E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D+28 days</w:t>
            </w:r>
          </w:p>
        </w:tc>
      </w:tr>
      <w:tr w:rsidR="00AD6F68" w:rsidRPr="00A00C1B" w14:paraId="1AD4917B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F3989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F0C92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Participant Selection Criteria Document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201AC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Standardized eligibility requirements and scoring matrix for startup applicants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0C02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D+28 days</w:t>
            </w:r>
          </w:p>
        </w:tc>
      </w:tr>
      <w:tr w:rsidR="00AD6F68" w:rsidRPr="00A00C1B" w14:paraId="1B0753A1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CC9C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6DF7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Application Process Launch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68C8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Public rollout of application portal with outreach strategy and submission guidelines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A881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D+35 days</w:t>
            </w:r>
          </w:p>
        </w:tc>
      </w:tr>
      <w:tr w:rsidR="00AD6F68" w:rsidRPr="00A00C1B" w14:paraId="3F3403C6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FF726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90DFF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Competition Design Plan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ADB62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Complete event blueprint including judging criteria, scoring rubrics, logistics and timeline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372A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D+42 days</w:t>
            </w:r>
          </w:p>
        </w:tc>
      </w:tr>
      <w:tr w:rsidR="00AD6F68" w:rsidRPr="00A00C1B" w14:paraId="6B2F3D83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1A1A4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DAD6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Hackathon Execution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F772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Successful completion of regional hackathon events with participant deliverables and judging outcomes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E90A0" w14:textId="382727A3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D+112 days</w:t>
            </w:r>
          </w:p>
        </w:tc>
      </w:tr>
      <w:tr w:rsidR="00AD6F68" w:rsidRPr="00A00C1B" w14:paraId="52CF13F9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7C04E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lastRenderedPageBreak/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93199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Mentorship Framework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9C70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Structured 6-month post-event support program including mentor matching and growth milestones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E5711" w14:textId="4861FCC0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D+119 days</w:t>
            </w:r>
          </w:p>
        </w:tc>
      </w:tr>
      <w:tr w:rsidR="00AD6F68" w:rsidRPr="00A00C1B" w14:paraId="2A16A8C4" w14:textId="77777777" w:rsidTr="00A00C1B">
        <w:trPr>
          <w:trHeight w:val="14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E0767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F359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Training, mentorship and Business Support Plan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AA420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Training modules covering entrepreneurship fundamentals, financial management and Sharia-compliant financing principles. Structured mentorship framework with sector-matched experts and Islamic finance advisors. Business development services including market linkages to corporate buyers/trade fairs and connections with financial institutions for funding access. Performance tracking system monitoring startup growth metrics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75723" w14:textId="4C0F40A3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D+119 days</w:t>
            </w:r>
          </w:p>
        </w:tc>
      </w:tr>
      <w:tr w:rsidR="00AD6F68" w:rsidRPr="00A00C1B" w14:paraId="5F3AD4F0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32E2" w14:textId="77777777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CD1C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eastAsia="Times New Roman" w:hAnsi="Century Gothic" w:cs="Calibri"/>
                <w:color w:val="000000"/>
              </w:rPr>
              <w:t>Monitoring and Evaluation Mechanism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902D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eastAsia="Times New Roman" w:hAnsi="Century Gothic" w:cs="Calibri"/>
                <w:color w:val="000000"/>
              </w:rPr>
              <w:t>A mechanism to monitor and evaluate supported startups' compliance with selection and support terms.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E27D" w14:textId="02B473D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D+119 days</w:t>
            </w:r>
          </w:p>
        </w:tc>
      </w:tr>
      <w:tr w:rsidR="00AD6F68" w:rsidRPr="00A00C1B" w14:paraId="2794CBD6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7DFC3" w14:textId="6C0DDA7D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0112F" w14:textId="767A541F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hAnsi="Century Gothic" w:cs="Calibri"/>
                <w:color w:val="000000"/>
              </w:rPr>
              <w:t>Implementation of Training and Mentorship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00DA4" w14:textId="4DFA1921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00C1B">
              <w:rPr>
                <w:rFonts w:ascii="Century Gothic" w:hAnsi="Century Gothic" w:cs="Calibri"/>
                <w:color w:val="000000"/>
              </w:rPr>
              <w:t>Execution of the training, mentorship, and support plan for pre-selected startups.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8370D" w14:textId="29EE1F15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D+299 days</w:t>
            </w:r>
          </w:p>
        </w:tc>
      </w:tr>
      <w:tr w:rsidR="00AD6F68" w:rsidRPr="00A00C1B" w14:paraId="279F2BB7" w14:textId="77777777" w:rsidTr="00A00C1B">
        <w:trPr>
          <w:trHeight w:val="4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DB05" w14:textId="7CA51CBB" w:rsidR="00AD6F68" w:rsidRPr="00A00C1B" w:rsidRDefault="00AD6F68" w:rsidP="00AD6F6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  <w:kern w:val="2"/>
                <w14:ligatures w14:val="standardContextual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A34DF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Final Programme Report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11C6" w14:textId="77777777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Comprehensive documentation of all activities, outcomes, startup success stories and recommendations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ACB4" w14:textId="505F2E36" w:rsidR="00AD6F68" w:rsidRPr="00A00C1B" w:rsidRDefault="00AD6F68" w:rsidP="00AD6F68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A00C1B">
              <w:rPr>
                <w:rFonts w:ascii="Century Gothic" w:eastAsia="Times New Roman" w:hAnsi="Century Gothic" w:cs="Calibri"/>
                <w:color w:val="404040"/>
              </w:rPr>
              <w:t>D+306 days</w:t>
            </w:r>
          </w:p>
        </w:tc>
      </w:tr>
    </w:tbl>
    <w:p w14:paraId="3E623A1E" w14:textId="46DEA232" w:rsidR="003E206E" w:rsidRDefault="003E206E" w:rsidP="003E206E">
      <w:pPr>
        <w:pStyle w:val="ListParagraph"/>
        <w:ind w:left="0" w:right="-241"/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</w:pPr>
      <w:r w:rsidRPr="00B95648"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*D = Day of Contract Execution with Consultant</w:t>
      </w:r>
    </w:p>
    <w:p w14:paraId="6601355F" w14:textId="49328369" w:rsidR="00A00C1B" w:rsidRDefault="00A00C1B" w:rsidP="003E206E">
      <w:pPr>
        <w:pStyle w:val="ListParagraph"/>
        <w:ind w:left="0" w:right="-241"/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</w:pPr>
      <w:r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**The timelines are subject to adjustment during negotiations, so consultants should propose realistic and efficient timeframes for each deliverable</w:t>
      </w:r>
    </w:p>
    <w:p w14:paraId="4B56EE3F" w14:textId="77777777" w:rsidR="007805E8" w:rsidRPr="00A64BD8" w:rsidRDefault="007805E8" w:rsidP="003E206E">
      <w:pPr>
        <w:pStyle w:val="ListParagraph"/>
        <w:ind w:left="0" w:right="-241"/>
        <w:rPr>
          <w:rFonts w:ascii="Century Gothic" w:eastAsia="Century Gothic" w:hAnsi="Century Gothic" w:cs="Century Gothic"/>
          <w:bCs/>
          <w:color w:val="000000" w:themeColor="text1"/>
        </w:rPr>
      </w:pPr>
    </w:p>
    <w:p w14:paraId="2CD3AA3D" w14:textId="3FB56968" w:rsidR="003E206E" w:rsidRDefault="003E206E" w:rsidP="00A64BD8">
      <w:pPr>
        <w:pStyle w:val="ListParagraph"/>
        <w:numPr>
          <w:ilvl w:val="0"/>
          <w:numId w:val="3"/>
        </w:numPr>
        <w:spacing w:before="240"/>
        <w:ind w:left="0"/>
        <w:rPr>
          <w:rFonts w:ascii="Century Gothic" w:eastAsia="Century Gothic" w:hAnsi="Century Gothic" w:cs="Century Gothic"/>
          <w:b/>
        </w:rPr>
      </w:pPr>
      <w:bookmarkStart w:id="1" w:name="_Hlk182300918"/>
      <w:r w:rsidRPr="00B95648">
        <w:rPr>
          <w:rFonts w:ascii="Century Gothic" w:eastAsia="Century Gothic" w:hAnsi="Century Gothic" w:cs="Century Gothic"/>
          <w:b/>
        </w:rPr>
        <w:t xml:space="preserve">Proposed Payment </w:t>
      </w:r>
      <w:r w:rsidRPr="00A64BD8">
        <w:rPr>
          <w:rFonts w:ascii="Century Gothic" w:eastAsia="Calibri" w:hAnsi="Century Gothic" w:cs="Calibri"/>
          <w:b/>
        </w:rPr>
        <w:t>Milestone</w:t>
      </w:r>
      <w:r w:rsidR="00A00C1B">
        <w:rPr>
          <w:rFonts w:ascii="Century Gothic" w:eastAsia="Calibri" w:hAnsi="Century Gothic" w:cs="Calibri"/>
          <w:b/>
        </w:rPr>
        <w:t>***</w:t>
      </w:r>
      <w:r w:rsidRPr="00B95648">
        <w:rPr>
          <w:rFonts w:ascii="Century Gothic" w:eastAsia="Century Gothic" w:hAnsi="Century Gothic" w:cs="Century Gothic"/>
          <w:b/>
        </w:rPr>
        <w:t xml:space="preserve"> </w:t>
      </w:r>
    </w:p>
    <w:p w14:paraId="4F36A04E" w14:textId="77777777" w:rsidR="003E206E" w:rsidRPr="00B95648" w:rsidRDefault="003E206E" w:rsidP="00A64BD8">
      <w:pPr>
        <w:pStyle w:val="ListParagraph"/>
        <w:spacing w:after="0"/>
        <w:ind w:left="0"/>
        <w:rPr>
          <w:rFonts w:ascii="Century Gothic" w:eastAsia="Century Gothic" w:hAnsi="Century Gothic" w:cs="Century Gothic"/>
          <w:b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595"/>
        <w:gridCol w:w="2008"/>
        <w:gridCol w:w="2495"/>
        <w:gridCol w:w="3152"/>
        <w:gridCol w:w="1158"/>
      </w:tblGrid>
      <w:tr w:rsidR="00AE312C" w:rsidRPr="00BB745D" w14:paraId="7A1C85C9" w14:textId="77777777" w:rsidTr="00AE312C">
        <w:trPr>
          <w:trHeight w:val="2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bookmarkEnd w:id="1"/>
          <w:p w14:paraId="36F68F66" w14:textId="77777777" w:rsidR="00AE312C" w:rsidRPr="00BB745D" w:rsidRDefault="00AE312C">
            <w:pPr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S/N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815D2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Milestone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9E3F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Deliverable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64CA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Submissions Required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40D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b/>
                <w:bCs/>
                <w:color w:val="404040"/>
              </w:rPr>
              <w:t>Payment %</w:t>
            </w:r>
          </w:p>
        </w:tc>
      </w:tr>
      <w:tr w:rsidR="00AE312C" w:rsidRPr="00BB745D" w14:paraId="601F6203" w14:textId="77777777" w:rsidTr="00AE312C">
        <w:trPr>
          <w:trHeight w:val="29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55F37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289BD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Ecosystem Assessment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D972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Ecosystem Assessment Report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D6A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report with ecosystem analysis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E37A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AE312C" w:rsidRPr="00BB745D" w14:paraId="1DFEDB92" w14:textId="77777777" w:rsidTr="00AE312C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EAC0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A38A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Program Design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AC2B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Training Plan &amp; Curriculum, Participant Selection Criteria Document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4A897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training framework and modules, Finalized selection matrix and criteria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480D2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AE312C" w:rsidRPr="00BB745D" w14:paraId="783233D5" w14:textId="77777777" w:rsidTr="00AE312C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3D70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E3E1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Application Phase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01A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Application Process Launch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F7356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Functional application/onboarding process with verification report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7F23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AE312C" w:rsidRPr="00BB745D" w14:paraId="532BC092" w14:textId="77777777" w:rsidTr="00AE312C">
        <w:trPr>
          <w:trHeight w:val="29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B7594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A8AB4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Competition Planning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F05C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Competition Design Plan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D283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event blueprint with judging rubrics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C44D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15%</w:t>
            </w:r>
          </w:p>
        </w:tc>
      </w:tr>
      <w:tr w:rsidR="00AE312C" w:rsidRPr="00BB745D" w14:paraId="1842DC62" w14:textId="77777777" w:rsidTr="00AE312C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791F5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lastRenderedPageBreak/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3393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Event Execution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28ADB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Hackathon Execution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E886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Completion report with participant outputs and judging records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24E9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AE312C" w:rsidRPr="00BB745D" w14:paraId="22E4D442" w14:textId="77777777" w:rsidTr="00AE312C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57FE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5948D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Post-Event Support Setup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A090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Mentorship Framework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AF1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6-month mentorship structure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70703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5%</w:t>
            </w:r>
          </w:p>
        </w:tc>
      </w:tr>
      <w:tr w:rsidR="00AE312C" w:rsidRPr="00BB745D" w14:paraId="4B4AB6EB" w14:textId="77777777" w:rsidTr="00AE312C">
        <w:trPr>
          <w:trHeight w:val="71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BD78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8819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Post-Event Support Setup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60950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Training, Mentorship and Business Support Plan, Monitoring and Evaluation Mechanism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20EC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Comprehensive approved support package, Functional tracking system implementation report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D5EE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35%</w:t>
            </w:r>
          </w:p>
        </w:tc>
      </w:tr>
      <w:tr w:rsidR="00AE312C" w:rsidRPr="00BB745D" w14:paraId="42465D28" w14:textId="77777777" w:rsidTr="00AE312C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3CB3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D6503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Mentorship Program Implementation*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F097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Implementation of Training and Mentorship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2BC27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Progress reports showing executed activities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90233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15%</w:t>
            </w:r>
          </w:p>
        </w:tc>
      </w:tr>
      <w:tr w:rsidR="00AE312C" w:rsidRPr="00BB745D" w14:paraId="741D7543" w14:textId="77777777" w:rsidTr="00AE312C">
        <w:trPr>
          <w:trHeight w:val="47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A053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34CF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Program Completion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98FF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Final Programme Report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379E" w14:textId="77777777" w:rsidR="00AE312C" w:rsidRPr="00BB745D" w:rsidRDefault="00AE312C" w:rsidP="00AE312C">
            <w:pPr>
              <w:spacing w:after="0" w:line="240" w:lineRule="auto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Approved final report with outcomes and recommendations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7F17" w14:textId="77777777" w:rsidR="00AE312C" w:rsidRPr="00BB745D" w:rsidRDefault="00AE312C" w:rsidP="00AE312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404040"/>
              </w:rPr>
            </w:pPr>
            <w:r w:rsidRPr="00BB745D">
              <w:rPr>
                <w:rFonts w:ascii="Century Gothic" w:eastAsia="Times New Roman" w:hAnsi="Century Gothic" w:cs="Calibri"/>
                <w:color w:val="404040"/>
              </w:rPr>
              <w:t>10%</w:t>
            </w:r>
          </w:p>
        </w:tc>
      </w:tr>
    </w:tbl>
    <w:p w14:paraId="78154591" w14:textId="612EBEFB" w:rsidR="00A00C1B" w:rsidRDefault="00BB745D" w:rsidP="00A00C1B">
      <w:pPr>
        <w:pStyle w:val="ListParagraph"/>
        <w:ind w:left="0" w:right="-241"/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</w:pPr>
      <w:r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*</w:t>
      </w:r>
      <w:r w:rsidR="00A00C1B"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 xml:space="preserve">**The </w:t>
      </w:r>
      <w:r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payment milestones</w:t>
      </w:r>
      <w:r w:rsidR="00A00C1B"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 xml:space="preserve"> are subject to </w:t>
      </w:r>
      <w:r>
        <w:rPr>
          <w:rFonts w:ascii="Century Gothic" w:eastAsia="Century Gothic" w:hAnsi="Century Gothic" w:cs="Century Gothic"/>
          <w:bCs/>
          <w:i/>
          <w:iCs/>
          <w:color w:val="000000" w:themeColor="text1"/>
          <w:sz w:val="16"/>
          <w:szCs w:val="16"/>
        </w:rPr>
        <w:t>adjustment during negotiations.</w:t>
      </w:r>
    </w:p>
    <w:p w14:paraId="4831A1EC" w14:textId="77777777" w:rsidR="002E163C" w:rsidRPr="00CB2208" w:rsidRDefault="002E163C" w:rsidP="00AE312C">
      <w:pPr>
        <w:spacing w:line="240" w:lineRule="auto"/>
        <w:contextualSpacing/>
        <w:jc w:val="both"/>
        <w:rPr>
          <w:rFonts w:ascii="Century Gothic" w:eastAsia="Arial" w:hAnsi="Century Gothic" w:cs="Times New Roman"/>
          <w:b/>
          <w:bCs/>
        </w:rPr>
      </w:pPr>
    </w:p>
    <w:p w14:paraId="331DBBD8" w14:textId="69F764E9" w:rsidR="002E163C" w:rsidRDefault="002E163C" w:rsidP="00580F1D">
      <w:pPr>
        <w:pStyle w:val="ListParagraph"/>
        <w:numPr>
          <w:ilvl w:val="0"/>
          <w:numId w:val="3"/>
        </w:numPr>
        <w:spacing w:after="0"/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Duration</w:t>
      </w:r>
    </w:p>
    <w:p w14:paraId="16BC1088" w14:textId="204AAF45" w:rsidR="002E163C" w:rsidRPr="00CB2208" w:rsidRDefault="002E163C" w:rsidP="00A64BD8">
      <w:pPr>
        <w:spacing w:after="0" w:line="276" w:lineRule="auto"/>
        <w:contextualSpacing/>
        <w:jc w:val="both"/>
        <w:rPr>
          <w:rFonts w:ascii="Century Gothic" w:eastAsia="Arial" w:hAnsi="Century Gothic" w:cs="Times New Roman"/>
          <w:bCs/>
        </w:rPr>
      </w:pPr>
      <w:bookmarkStart w:id="2" w:name="_GoBack"/>
      <w:bookmarkEnd w:id="2"/>
      <w:r w:rsidRPr="00CB2208">
        <w:rPr>
          <w:rFonts w:ascii="Century Gothic" w:eastAsia="Arial" w:hAnsi="Century Gothic" w:cs="Times New Roman"/>
          <w:bCs/>
        </w:rPr>
        <w:t>The duration of the</w:t>
      </w:r>
      <w:r>
        <w:rPr>
          <w:rFonts w:ascii="Century Gothic" w:eastAsia="Arial" w:hAnsi="Century Gothic" w:cs="Times New Roman"/>
          <w:bCs/>
        </w:rPr>
        <w:t xml:space="preserve"> </w:t>
      </w:r>
      <w:r w:rsidR="00554A55">
        <w:rPr>
          <w:rFonts w:ascii="Century Gothic" w:eastAsia="Arial" w:hAnsi="Century Gothic" w:cs="Times New Roman"/>
          <w:bCs/>
        </w:rPr>
        <w:t>activity</w:t>
      </w:r>
      <w:r>
        <w:rPr>
          <w:rFonts w:ascii="Century Gothic" w:eastAsia="Arial" w:hAnsi="Century Gothic" w:cs="Times New Roman"/>
          <w:bCs/>
        </w:rPr>
        <w:t xml:space="preserve"> shall be for a maximum of </w:t>
      </w:r>
      <w:r w:rsidR="003E206E" w:rsidRPr="00BB745D">
        <w:rPr>
          <w:rFonts w:ascii="Century Gothic" w:eastAsia="Arial" w:hAnsi="Century Gothic" w:cs="Times New Roman"/>
          <w:bCs/>
        </w:rPr>
        <w:t>one (1)</w:t>
      </w:r>
      <w:r w:rsidRPr="00BB745D">
        <w:rPr>
          <w:rFonts w:ascii="Century Gothic" w:eastAsia="Arial" w:hAnsi="Century Gothic" w:cs="Times New Roman"/>
          <w:bCs/>
        </w:rPr>
        <w:t xml:space="preserve"> </w:t>
      </w:r>
      <w:r>
        <w:rPr>
          <w:rFonts w:ascii="Century Gothic" w:eastAsia="Arial" w:hAnsi="Century Gothic" w:cs="Times New Roman"/>
          <w:bCs/>
        </w:rPr>
        <w:t>year</w:t>
      </w:r>
      <w:r w:rsidRPr="00CB2208">
        <w:rPr>
          <w:rFonts w:ascii="Century Gothic" w:eastAsia="Arial" w:hAnsi="Century Gothic" w:cs="Times New Roman"/>
          <w:bCs/>
        </w:rPr>
        <w:t xml:space="preserve">. </w:t>
      </w:r>
      <w:r w:rsidR="003E206E" w:rsidRPr="00B95648">
        <w:rPr>
          <w:rFonts w:ascii="Century Gothic" w:eastAsia="Century Gothic" w:hAnsi="Century Gothic" w:cs="Century Gothic"/>
          <w:bCs/>
          <w:color w:val="000000" w:themeColor="text1"/>
        </w:rPr>
        <w:t>Any need for extension should be communicated to the PCU in writing and with justifications stated</w:t>
      </w:r>
      <w:r w:rsidR="00023793">
        <w:rPr>
          <w:rFonts w:ascii="Century Gothic" w:eastAsia="Century Gothic" w:hAnsi="Century Gothic" w:cs="Century Gothic"/>
          <w:bCs/>
          <w:color w:val="000000" w:themeColor="text1"/>
        </w:rPr>
        <w:t>.</w:t>
      </w:r>
    </w:p>
    <w:p w14:paraId="47D2FAB0" w14:textId="77777777" w:rsidR="002E163C" w:rsidRPr="00CB2208" w:rsidRDefault="002E163C" w:rsidP="00A64BD8">
      <w:pPr>
        <w:spacing w:after="0" w:line="240" w:lineRule="auto"/>
        <w:contextualSpacing/>
        <w:jc w:val="both"/>
        <w:rPr>
          <w:rFonts w:ascii="Century Gothic" w:eastAsia="Arial" w:hAnsi="Century Gothic" w:cs="Times New Roman"/>
          <w:bCs/>
        </w:rPr>
      </w:pPr>
    </w:p>
    <w:p w14:paraId="19C4D6CC" w14:textId="77777777" w:rsidR="00023793" w:rsidRPr="00A64BD8" w:rsidRDefault="00023793" w:rsidP="00A64BD8">
      <w:pPr>
        <w:pStyle w:val="ListParagraph"/>
        <w:numPr>
          <w:ilvl w:val="0"/>
          <w:numId w:val="3"/>
        </w:numPr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Confidentiality</w:t>
      </w:r>
    </w:p>
    <w:p w14:paraId="1E0DBE62" w14:textId="23C6B9FA" w:rsidR="00023793" w:rsidRPr="00675304" w:rsidRDefault="00023793" w:rsidP="00A64BD8">
      <w:pPr>
        <w:pStyle w:val="ListParagraph"/>
        <w:spacing w:line="276" w:lineRule="auto"/>
        <w:ind w:left="0" w:right="-241"/>
        <w:jc w:val="both"/>
        <w:rPr>
          <w:rFonts w:ascii="Century Gothic" w:eastAsia="Century Gothic" w:hAnsi="Century Gothic" w:cs="Century Gothic"/>
          <w:bCs/>
          <w:color w:val="000000" w:themeColor="text1"/>
        </w:rPr>
      </w:pPr>
      <w:r w:rsidRPr="00B95648">
        <w:rPr>
          <w:rFonts w:ascii="Century Gothic" w:eastAsia="Century Gothic" w:hAnsi="Century Gothic" w:cs="Century Gothic"/>
          <w:bCs/>
          <w:color w:val="000000" w:themeColor="text1"/>
        </w:rPr>
        <w:t xml:space="preserve">All data and information obtained during the </w:t>
      </w:r>
      <w:r w:rsidRPr="00675304">
        <w:rPr>
          <w:rFonts w:ascii="Century Gothic" w:eastAsia="Century Gothic" w:hAnsi="Century Gothic" w:cs="Century Gothic"/>
          <w:bCs/>
          <w:color w:val="000000" w:themeColor="text1"/>
        </w:rPr>
        <w:t>consultancy</w:t>
      </w:r>
      <w:r w:rsidRPr="00B95648">
        <w:rPr>
          <w:rFonts w:ascii="Century Gothic" w:eastAsia="Century Gothic" w:hAnsi="Century Gothic" w:cs="Century Gothic"/>
          <w:bCs/>
          <w:color w:val="000000" w:themeColor="text1"/>
        </w:rPr>
        <w:t xml:space="preserve"> must be treated as confidential and used solely for the purpose of this project.</w:t>
      </w:r>
    </w:p>
    <w:p w14:paraId="104D699B" w14:textId="77777777" w:rsidR="00023793" w:rsidRPr="00675304" w:rsidRDefault="00023793" w:rsidP="00023793">
      <w:pPr>
        <w:pStyle w:val="ListParagraph"/>
        <w:ind w:left="0" w:right="-241"/>
        <w:jc w:val="both"/>
        <w:rPr>
          <w:rFonts w:ascii="Century Gothic" w:eastAsia="Century Gothic" w:hAnsi="Century Gothic" w:cs="Century Gothic"/>
          <w:bCs/>
          <w:color w:val="000000" w:themeColor="text1"/>
        </w:rPr>
      </w:pPr>
    </w:p>
    <w:p w14:paraId="04D91509" w14:textId="77777777" w:rsidR="00023793" w:rsidRPr="00A64BD8" w:rsidRDefault="00023793" w:rsidP="00A64BD8">
      <w:pPr>
        <w:pStyle w:val="ListParagraph"/>
        <w:numPr>
          <w:ilvl w:val="0"/>
          <w:numId w:val="3"/>
        </w:numPr>
        <w:spacing w:before="240"/>
        <w:ind w:left="0"/>
        <w:rPr>
          <w:rFonts w:ascii="Century Gothic" w:eastAsia="Calibri" w:hAnsi="Century Gothic" w:cs="Calibri"/>
          <w:b/>
        </w:rPr>
      </w:pPr>
      <w:r w:rsidRPr="00A64BD8">
        <w:rPr>
          <w:rFonts w:ascii="Century Gothic" w:eastAsia="Calibri" w:hAnsi="Century Gothic" w:cs="Calibri"/>
          <w:b/>
        </w:rPr>
        <w:t>Conflict of Interest</w:t>
      </w:r>
    </w:p>
    <w:p w14:paraId="445A1A69" w14:textId="0A76AF6D" w:rsidR="00023793" w:rsidRPr="00B95648" w:rsidRDefault="00023793" w:rsidP="00A64BD8">
      <w:pPr>
        <w:pStyle w:val="ListParagraph"/>
        <w:spacing w:line="276" w:lineRule="auto"/>
        <w:ind w:left="0" w:right="-241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675304">
        <w:rPr>
          <w:rFonts w:ascii="Century Gothic" w:eastAsia="Century Gothic" w:hAnsi="Century Gothic" w:cs="Century Gothic"/>
          <w:color w:val="000000" w:themeColor="text1"/>
        </w:rPr>
        <w:t>Consultant(s)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will be required to highlight any areas where there is a potential conflict of interest and should propose mechanisms to resolve or manage these conflicts. This will not be regarded as a negative feature of an application, in as much as the BOI iDICE PCU is satisfied that any conflicts will be handled in a manner consistent with the interests of the project. Wherever possible, prospective </w:t>
      </w:r>
      <w:r w:rsidRPr="00675304">
        <w:rPr>
          <w:rFonts w:ascii="Century Gothic" w:eastAsia="Century Gothic" w:hAnsi="Century Gothic" w:cs="Century Gothic"/>
          <w:color w:val="000000" w:themeColor="text1"/>
        </w:rPr>
        <w:t>Consultant(s</w:t>
      </w:r>
      <w:r w:rsidR="00EC4658" w:rsidRPr="00675304">
        <w:rPr>
          <w:rFonts w:ascii="Century Gothic" w:eastAsia="Century Gothic" w:hAnsi="Century Gothic" w:cs="Century Gothic"/>
          <w:color w:val="000000" w:themeColor="text1"/>
        </w:rPr>
        <w:t>)</w:t>
      </w:r>
      <w:r w:rsidR="00EC4658" w:rsidRPr="00B95648">
        <w:rPr>
          <w:rFonts w:ascii="Century Gothic" w:eastAsia="Century Gothic" w:hAnsi="Century Gothic" w:cs="Century Gothic"/>
          <w:color w:val="000000" w:themeColor="text1"/>
        </w:rPr>
        <w:t xml:space="preserve"> should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 follow technical, operational and commercial best practices in managing potential conflicts.</w:t>
      </w:r>
    </w:p>
    <w:p w14:paraId="6650A822" w14:textId="65B4B9E5" w:rsidR="00D53874" w:rsidRPr="00D53874" w:rsidRDefault="00023793" w:rsidP="00AE312C">
      <w:pPr>
        <w:pStyle w:val="ListParagraph"/>
        <w:spacing w:line="276" w:lineRule="auto"/>
        <w:ind w:left="0" w:right="-241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Prospective </w:t>
      </w:r>
      <w:r w:rsidRPr="00675304">
        <w:rPr>
          <w:rFonts w:ascii="Century Gothic" w:eastAsia="Century Gothic" w:hAnsi="Century Gothic" w:cs="Century Gothic"/>
          <w:color w:val="000000" w:themeColor="text1"/>
        </w:rPr>
        <w:t xml:space="preserve">Consultant(s) 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should note that failure to disclose any material conflict of interest that is subsequently identified in the assessment process </w:t>
      </w:r>
      <w:r w:rsidR="00EC4658">
        <w:rPr>
          <w:rFonts w:ascii="Century Gothic" w:eastAsia="Century Gothic" w:hAnsi="Century Gothic" w:cs="Century Gothic"/>
          <w:color w:val="000000" w:themeColor="text1"/>
        </w:rPr>
        <w:t>will</w:t>
      </w:r>
      <w:r w:rsidRPr="00B95648">
        <w:rPr>
          <w:rFonts w:ascii="Century Gothic" w:eastAsia="Century Gothic" w:hAnsi="Century Gothic" w:cs="Century Gothic"/>
          <w:color w:val="000000" w:themeColor="text1"/>
        </w:rPr>
        <w:t xml:space="preserve"> be regarded as a significant negative feature. For joint ventures, the lead partner must have the power of attorney.</w:t>
      </w:r>
    </w:p>
    <w:p w14:paraId="760D7A80" w14:textId="77777777" w:rsidR="00876423" w:rsidRDefault="00876423"/>
    <w:sectPr w:rsidR="00876423" w:rsidSect="00A64BD8">
      <w:headerReference w:type="default" r:id="rId11"/>
      <w:footerReference w:type="default" r:id="rId12"/>
      <w:pgSz w:w="12240" w:h="15840"/>
      <w:pgMar w:top="1985" w:right="1440" w:bottom="1701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A828" w14:textId="77777777" w:rsidR="009D26AF" w:rsidRDefault="009D26AF">
      <w:pPr>
        <w:spacing w:after="0" w:line="240" w:lineRule="auto"/>
      </w:pPr>
      <w:r>
        <w:separator/>
      </w:r>
    </w:p>
  </w:endnote>
  <w:endnote w:type="continuationSeparator" w:id="0">
    <w:p w14:paraId="0CBBD909" w14:textId="77777777" w:rsidR="009D26AF" w:rsidRDefault="009D26AF">
      <w:pPr>
        <w:spacing w:after="0" w:line="240" w:lineRule="auto"/>
      </w:pPr>
      <w:r>
        <w:continuationSeparator/>
      </w:r>
    </w:p>
  </w:endnote>
  <w:endnote w:type="continuationNotice" w:id="1">
    <w:p w14:paraId="19CF98CC" w14:textId="77777777" w:rsidR="009D26AF" w:rsidRDefault="009D2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161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D8745" w14:textId="55A7E681" w:rsidR="00A752A6" w:rsidRDefault="00A752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1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BB0EF2" w14:textId="77777777" w:rsidR="00A752A6" w:rsidRDefault="00A75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2B044" w14:textId="77777777" w:rsidR="009D26AF" w:rsidRDefault="009D26AF">
      <w:pPr>
        <w:spacing w:after="0" w:line="240" w:lineRule="auto"/>
      </w:pPr>
      <w:r>
        <w:separator/>
      </w:r>
    </w:p>
  </w:footnote>
  <w:footnote w:type="continuationSeparator" w:id="0">
    <w:p w14:paraId="25BF00E8" w14:textId="77777777" w:rsidR="009D26AF" w:rsidRDefault="009D26AF">
      <w:pPr>
        <w:spacing w:after="0" w:line="240" w:lineRule="auto"/>
      </w:pPr>
      <w:r>
        <w:continuationSeparator/>
      </w:r>
    </w:p>
  </w:footnote>
  <w:footnote w:type="continuationNotice" w:id="1">
    <w:p w14:paraId="31C90872" w14:textId="77777777" w:rsidR="009D26AF" w:rsidRDefault="009D26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99792" w14:textId="77777777" w:rsidR="00A752A6" w:rsidRDefault="00A752A6" w:rsidP="00A752A6">
    <w:pPr>
      <w:pStyle w:val="Header"/>
      <w:jc w:val="center"/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</w:pP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fldChar w:fldCharType="begin"/>
    </w: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instrText xml:space="preserve"> INCLUDEPICTURE "https://lh4.googleusercontent.com/fjkPJ5orR526b5dNW4opLupyqIer9DP-ihDJEmappVnG7emnLAdgz2UNEnYsuToFQOxAELHnfARPh2-wp3DJFNGsJeyVj0LhuOSyaK4kW_uBI_W1ErzT6qOk7NdHnXnirnYOk7E2ke07Kfn_tEf-9E8" \* MERGEFORMATINET </w:instrText>
    </w: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fldChar w:fldCharType="separate"/>
    </w:r>
    <w:r w:rsidRPr="00445109">
      <w:rPr>
        <w:rFonts w:ascii="Century Gothic" w:eastAsia="Times New Roman" w:hAnsi="Century Gothic" w:cs="Times New Roman"/>
        <w:noProof/>
        <w:color w:val="666666"/>
        <w:sz w:val="28"/>
        <w:szCs w:val="28"/>
        <w:bdr w:val="none" w:sz="0" w:space="0" w:color="auto" w:frame="1"/>
      </w:rPr>
      <w:drawing>
        <wp:inline distT="0" distB="0" distL="0" distR="0" wp14:anchorId="32FEAD79" wp14:editId="6F51C9B4">
          <wp:extent cx="2538925" cy="724052"/>
          <wp:effectExtent l="0" t="0" r="1270" b="0"/>
          <wp:docPr id="8894284" name="Picture 8894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370" cy="74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5109">
      <w:rPr>
        <w:rFonts w:ascii="Century Gothic" w:eastAsia="Times New Roman" w:hAnsi="Century Gothic" w:cs="Times New Roman"/>
        <w:color w:val="666666"/>
        <w:sz w:val="28"/>
        <w:szCs w:val="28"/>
        <w:bdr w:val="none" w:sz="0" w:space="0" w:color="auto" w:frame="1"/>
      </w:rPr>
      <w:fldChar w:fldCharType="end"/>
    </w:r>
  </w:p>
  <w:p w14:paraId="2FE88F36" w14:textId="77777777" w:rsidR="00A752A6" w:rsidRDefault="00A752A6" w:rsidP="00A752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38F"/>
    <w:multiLevelType w:val="multilevel"/>
    <w:tmpl w:val="854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57B2"/>
    <w:multiLevelType w:val="multilevel"/>
    <w:tmpl w:val="456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A6F07"/>
    <w:multiLevelType w:val="hybridMultilevel"/>
    <w:tmpl w:val="6868D11C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2A08DE"/>
    <w:multiLevelType w:val="multilevel"/>
    <w:tmpl w:val="DCB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97EC5"/>
    <w:multiLevelType w:val="hybridMultilevel"/>
    <w:tmpl w:val="3B96620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45C9"/>
    <w:multiLevelType w:val="hybridMultilevel"/>
    <w:tmpl w:val="5CF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811B1"/>
    <w:multiLevelType w:val="hybridMultilevel"/>
    <w:tmpl w:val="BF90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423C1"/>
    <w:multiLevelType w:val="multilevel"/>
    <w:tmpl w:val="B8EC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772A2"/>
    <w:multiLevelType w:val="hybridMultilevel"/>
    <w:tmpl w:val="16866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1C1111"/>
    <w:multiLevelType w:val="hybridMultilevel"/>
    <w:tmpl w:val="C268BC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D7C96"/>
    <w:multiLevelType w:val="hybridMultilevel"/>
    <w:tmpl w:val="FD8222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53D65"/>
    <w:multiLevelType w:val="multilevel"/>
    <w:tmpl w:val="1AD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27445"/>
    <w:multiLevelType w:val="hybridMultilevel"/>
    <w:tmpl w:val="8DBAA2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07179"/>
    <w:multiLevelType w:val="hybridMultilevel"/>
    <w:tmpl w:val="E590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87E33"/>
    <w:multiLevelType w:val="multilevel"/>
    <w:tmpl w:val="634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C637F"/>
    <w:multiLevelType w:val="multilevel"/>
    <w:tmpl w:val="809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A14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3753E"/>
    <w:multiLevelType w:val="multilevel"/>
    <w:tmpl w:val="4EA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A57B8"/>
    <w:multiLevelType w:val="multilevel"/>
    <w:tmpl w:val="D23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86222"/>
    <w:multiLevelType w:val="hybridMultilevel"/>
    <w:tmpl w:val="25CC4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200C"/>
    <w:multiLevelType w:val="hybridMultilevel"/>
    <w:tmpl w:val="79A0508A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A14A00"/>
    <w:multiLevelType w:val="multilevel"/>
    <w:tmpl w:val="6B1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37FB3"/>
    <w:multiLevelType w:val="multilevel"/>
    <w:tmpl w:val="81F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527F0"/>
    <w:multiLevelType w:val="hybridMultilevel"/>
    <w:tmpl w:val="98F466C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6"/>
  </w:num>
  <w:num w:numId="5">
    <w:abstractNumId w:val="5"/>
  </w:num>
  <w:num w:numId="6">
    <w:abstractNumId w:val="20"/>
  </w:num>
  <w:num w:numId="7">
    <w:abstractNumId w:val="10"/>
  </w:num>
  <w:num w:numId="8">
    <w:abstractNumId w:val="4"/>
  </w:num>
  <w:num w:numId="9">
    <w:abstractNumId w:val="16"/>
  </w:num>
  <w:num w:numId="10">
    <w:abstractNumId w:val="23"/>
  </w:num>
  <w:num w:numId="11">
    <w:abstractNumId w:val="9"/>
  </w:num>
  <w:num w:numId="12">
    <w:abstractNumId w:val="14"/>
  </w:num>
  <w:num w:numId="13">
    <w:abstractNumId w:val="15"/>
  </w:num>
  <w:num w:numId="14">
    <w:abstractNumId w:val="0"/>
  </w:num>
  <w:num w:numId="15">
    <w:abstractNumId w:val="22"/>
  </w:num>
  <w:num w:numId="16">
    <w:abstractNumId w:val="1"/>
  </w:num>
  <w:num w:numId="17">
    <w:abstractNumId w:val="17"/>
  </w:num>
  <w:num w:numId="18">
    <w:abstractNumId w:val="11"/>
  </w:num>
  <w:num w:numId="19">
    <w:abstractNumId w:val="7"/>
  </w:num>
  <w:num w:numId="20">
    <w:abstractNumId w:val="18"/>
  </w:num>
  <w:num w:numId="21">
    <w:abstractNumId w:val="21"/>
  </w:num>
  <w:num w:numId="22">
    <w:abstractNumId w:val="3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VData" w:val="ew0KICAiZG9jSUQiOiAiMGYyZDgxYmMtNjIzYi00YTc5LTg0MTktOGI0ZGZiMWFjODdhIg0KfQ=="/>
    <w:docVar w:name="GVData0" w:val="(end)"/>
  </w:docVars>
  <w:rsids>
    <w:rsidRoot w:val="002E163C"/>
    <w:rsid w:val="00023793"/>
    <w:rsid w:val="00023CB8"/>
    <w:rsid w:val="00065467"/>
    <w:rsid w:val="000708F3"/>
    <w:rsid w:val="00081E49"/>
    <w:rsid w:val="00093CEA"/>
    <w:rsid w:val="000A1013"/>
    <w:rsid w:val="000B3366"/>
    <w:rsid w:val="00102F05"/>
    <w:rsid w:val="00126593"/>
    <w:rsid w:val="00126A99"/>
    <w:rsid w:val="001621F6"/>
    <w:rsid w:val="001C2360"/>
    <w:rsid w:val="001C7C09"/>
    <w:rsid w:val="001D5B59"/>
    <w:rsid w:val="001F3185"/>
    <w:rsid w:val="00216AC0"/>
    <w:rsid w:val="00234C52"/>
    <w:rsid w:val="002533E3"/>
    <w:rsid w:val="00295353"/>
    <w:rsid w:val="00295AD3"/>
    <w:rsid w:val="002A29B5"/>
    <w:rsid w:val="002B7A59"/>
    <w:rsid w:val="002C41BB"/>
    <w:rsid w:val="002D3480"/>
    <w:rsid w:val="002D4467"/>
    <w:rsid w:val="002E141E"/>
    <w:rsid w:val="002E163C"/>
    <w:rsid w:val="002F55B4"/>
    <w:rsid w:val="002F7D26"/>
    <w:rsid w:val="003265BA"/>
    <w:rsid w:val="00335C83"/>
    <w:rsid w:val="00364E2C"/>
    <w:rsid w:val="003658AA"/>
    <w:rsid w:val="00370883"/>
    <w:rsid w:val="00381040"/>
    <w:rsid w:val="003A78EF"/>
    <w:rsid w:val="003B4D3A"/>
    <w:rsid w:val="003E206E"/>
    <w:rsid w:val="003E77D4"/>
    <w:rsid w:val="004160C8"/>
    <w:rsid w:val="004266E4"/>
    <w:rsid w:val="0042768C"/>
    <w:rsid w:val="00430740"/>
    <w:rsid w:val="004716FB"/>
    <w:rsid w:val="004A1FE0"/>
    <w:rsid w:val="004A5383"/>
    <w:rsid w:val="004E735E"/>
    <w:rsid w:val="00500392"/>
    <w:rsid w:val="0050220E"/>
    <w:rsid w:val="005055EF"/>
    <w:rsid w:val="005161F6"/>
    <w:rsid w:val="00554A55"/>
    <w:rsid w:val="00580F1D"/>
    <w:rsid w:val="00584BB8"/>
    <w:rsid w:val="005A304E"/>
    <w:rsid w:val="005B30AA"/>
    <w:rsid w:val="005C22EF"/>
    <w:rsid w:val="006233CC"/>
    <w:rsid w:val="006603E8"/>
    <w:rsid w:val="00687303"/>
    <w:rsid w:val="006F478F"/>
    <w:rsid w:val="00726B65"/>
    <w:rsid w:val="00730C28"/>
    <w:rsid w:val="007465E6"/>
    <w:rsid w:val="007805E8"/>
    <w:rsid w:val="007974EB"/>
    <w:rsid w:val="007A7C39"/>
    <w:rsid w:val="007B18BA"/>
    <w:rsid w:val="007F1105"/>
    <w:rsid w:val="008418BF"/>
    <w:rsid w:val="00845CB0"/>
    <w:rsid w:val="0085105B"/>
    <w:rsid w:val="0086785A"/>
    <w:rsid w:val="00876423"/>
    <w:rsid w:val="00877220"/>
    <w:rsid w:val="008E2800"/>
    <w:rsid w:val="00974C0B"/>
    <w:rsid w:val="00975241"/>
    <w:rsid w:val="009817C9"/>
    <w:rsid w:val="00982800"/>
    <w:rsid w:val="009C103A"/>
    <w:rsid w:val="009D26AF"/>
    <w:rsid w:val="009F45AC"/>
    <w:rsid w:val="00A00C1B"/>
    <w:rsid w:val="00A212CE"/>
    <w:rsid w:val="00A34471"/>
    <w:rsid w:val="00A64BD8"/>
    <w:rsid w:val="00A752A6"/>
    <w:rsid w:val="00A83782"/>
    <w:rsid w:val="00A838F8"/>
    <w:rsid w:val="00AD49DE"/>
    <w:rsid w:val="00AD6F68"/>
    <w:rsid w:val="00AE312C"/>
    <w:rsid w:val="00B37351"/>
    <w:rsid w:val="00B4480E"/>
    <w:rsid w:val="00B55298"/>
    <w:rsid w:val="00B64D3F"/>
    <w:rsid w:val="00B729FE"/>
    <w:rsid w:val="00B812C2"/>
    <w:rsid w:val="00BA6540"/>
    <w:rsid w:val="00BA6EAC"/>
    <w:rsid w:val="00BB2954"/>
    <w:rsid w:val="00BB745D"/>
    <w:rsid w:val="00BD1FBB"/>
    <w:rsid w:val="00BD3110"/>
    <w:rsid w:val="00BD5A13"/>
    <w:rsid w:val="00C40E84"/>
    <w:rsid w:val="00C448FD"/>
    <w:rsid w:val="00C51A2E"/>
    <w:rsid w:val="00C620F3"/>
    <w:rsid w:val="00C81A72"/>
    <w:rsid w:val="00C953B5"/>
    <w:rsid w:val="00C96D7D"/>
    <w:rsid w:val="00CC77CE"/>
    <w:rsid w:val="00CE4B88"/>
    <w:rsid w:val="00CF7D62"/>
    <w:rsid w:val="00D02C08"/>
    <w:rsid w:val="00D1372A"/>
    <w:rsid w:val="00D53874"/>
    <w:rsid w:val="00D54C03"/>
    <w:rsid w:val="00D610E1"/>
    <w:rsid w:val="00D81059"/>
    <w:rsid w:val="00DA6FDF"/>
    <w:rsid w:val="00DB43A2"/>
    <w:rsid w:val="00DC14A1"/>
    <w:rsid w:val="00DC4A49"/>
    <w:rsid w:val="00DD5DDA"/>
    <w:rsid w:val="00E45417"/>
    <w:rsid w:val="00E716C4"/>
    <w:rsid w:val="00E722E8"/>
    <w:rsid w:val="00E73B2E"/>
    <w:rsid w:val="00E92180"/>
    <w:rsid w:val="00EA782C"/>
    <w:rsid w:val="00EC3881"/>
    <w:rsid w:val="00EC4658"/>
    <w:rsid w:val="00EC5091"/>
    <w:rsid w:val="00F00974"/>
    <w:rsid w:val="00F56B8A"/>
    <w:rsid w:val="00F774A9"/>
    <w:rsid w:val="00FA55FC"/>
    <w:rsid w:val="00F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E0561"/>
  <w15:chartTrackingRefBased/>
  <w15:docId w15:val="{E82B7FDA-8FF1-40DA-9008-D63F0CA0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63C"/>
  </w:style>
  <w:style w:type="paragraph" w:styleId="Footer">
    <w:name w:val="footer"/>
    <w:basedOn w:val="Normal"/>
    <w:link w:val="FooterChar"/>
    <w:uiPriority w:val="99"/>
    <w:unhideWhenUsed/>
    <w:rsid w:val="002E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63C"/>
  </w:style>
  <w:style w:type="paragraph" w:styleId="ListParagraph">
    <w:name w:val="List Paragraph"/>
    <w:basedOn w:val="Normal"/>
    <w:uiPriority w:val="34"/>
    <w:qFormat/>
    <w:rsid w:val="002E163C"/>
    <w:pPr>
      <w:ind w:left="720"/>
      <w:contextualSpacing/>
    </w:pPr>
  </w:style>
  <w:style w:type="paragraph" w:styleId="Revision">
    <w:name w:val="Revision"/>
    <w:hidden/>
    <w:uiPriority w:val="99"/>
    <w:semiHidden/>
    <w:rsid w:val="00A83782"/>
    <w:pPr>
      <w:spacing w:after="0" w:line="240" w:lineRule="auto"/>
    </w:pPr>
  </w:style>
  <w:style w:type="table" w:styleId="TableGrid">
    <w:name w:val="Table Grid"/>
    <w:basedOn w:val="TableNormal"/>
    <w:uiPriority w:val="39"/>
    <w:rsid w:val="003E206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85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ACD95E449454985C1039E2E95E0F8" ma:contentTypeVersion="4" ma:contentTypeDescription="Create a new document." ma:contentTypeScope="" ma:versionID="1971743d8d202fa91d59ee4c9f2a15ba">
  <xsd:schema xmlns:xsd="http://www.w3.org/2001/XMLSchema" xmlns:xs="http://www.w3.org/2001/XMLSchema" xmlns:p="http://schemas.microsoft.com/office/2006/metadata/properties" xmlns:ns3="9fd038c5-82c5-44ec-901c-5d419863d893" targetNamespace="http://schemas.microsoft.com/office/2006/metadata/properties" ma:root="true" ma:fieldsID="9dd7e1736f3ae6eb9256b2540547e17a" ns3:_="">
    <xsd:import namespace="9fd038c5-82c5-44ec-901c-5d419863d8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38c5-82c5-44ec-901c-5d419863d8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B1089-00D0-4C92-9474-ADBDAC269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0AC8B-3744-4832-827C-886D7E3C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038c5-82c5-44ec-901c-5d419863d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D84C1-E414-4716-B257-06EFA91054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1623</Words>
  <Characters>10703</Characters>
  <Application>Microsoft Office Word</Application>
  <DocSecurity>0</DocSecurity>
  <Lines>345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Forri S. Banu</dc:creator>
  <cp:keywords/>
  <dc:description/>
  <cp:lastModifiedBy>Joshua O. Adeloye</cp:lastModifiedBy>
  <cp:revision>3</cp:revision>
  <dcterms:created xsi:type="dcterms:W3CDTF">2025-10-29T12:45:00Z</dcterms:created>
  <dcterms:modified xsi:type="dcterms:W3CDTF">2025-11-10T08:29:00Z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0x0101000B2ACD95E449454985C1039E2E95E0F8</vt:lpwstr>
  </property>
  <property fmtid="{D5CDD505-2E9C-101B-9397-08002B2CF9AE}" pid="3" name="MediaServiceImageTags">
    <vt:lpwstr/>
  </property>
  <property fmtid="{D5CDD505-2E9C-101B-9397-08002B2CF9AE}" pid="4" name="GVData">
    <vt:lpwstr>ew0KICAiZG9jSUQiOiAiMGYyZDgxYmMtNjIzYi00YTc5LTg0MTktOGI0ZGZiMWFjODdhIg0KfQ==</vt:lpwstr>
  </property>
  <property fmtid="{D5CDD505-2E9C-101B-9397-08002B2CF9AE}" pid="5" name="GVData0">
    <vt:lpwstr>(end)</vt:lpwstr>
  </property>
  <property fmtid="{D5CDD505-2E9C-101B-9397-08002B2CF9AE}" pid="6" name="GrammarlyDocumentId">
    <vt:lpwstr>00205e37-fc96-44ac-aedb-ca20cfaee38b</vt:lpwstr>
  </property>
</Properties>
</file>